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500" w:lineRule="exact"/>
        <w:ind w:right="267" w:rightChars="127"/>
        <w:rPr>
          <w:rFonts w:hint="eastAsia" w:ascii="宋体" w:hAnsi="宋体"/>
          <w:b/>
          <w:bCs/>
          <w:spacing w:val="36"/>
          <w:sz w:val="32"/>
          <w:szCs w:val="32"/>
          <w14:shadow w14:blurRad="50800" w14:dist="38100" w14:dir="2700000" w14:sx="100000" w14:sy="100000" w14:kx="0" w14:ky="0" w14:algn="tl">
            <w14:srgbClr w14:val="000000">
              <w14:alpha w14:val="60000"/>
            </w14:srgbClr>
          </w14:shadow>
        </w:rPr>
      </w:pPr>
    </w:p>
    <w:p>
      <w:pPr>
        <w:tabs>
          <w:tab w:val="left" w:pos="315"/>
          <w:tab w:val="left" w:pos="8820"/>
        </w:tabs>
        <w:spacing w:line="500" w:lineRule="exact"/>
        <w:ind w:right="267" w:rightChars="127"/>
        <w:jc w:val="center"/>
        <w:rPr>
          <w:rFonts w:hint="eastAsia" w:ascii="宋体" w:hAnsi="宋体"/>
          <w:b/>
          <w:bCs/>
          <w:spacing w:val="36"/>
          <w:sz w:val="32"/>
          <w:szCs w:val="32"/>
          <w14:shadow w14:blurRad="50800" w14:dist="38100" w14:dir="2700000" w14:sx="100000" w14:sy="100000" w14:kx="0" w14:ky="0" w14:algn="tl">
            <w14:srgbClr w14:val="000000">
              <w14:alpha w14:val="60000"/>
            </w14:srgbClr>
          </w14:shadow>
        </w:rPr>
      </w:pPr>
    </w:p>
    <w:p>
      <w:pPr>
        <w:spacing w:line="360" w:lineRule="auto"/>
        <w:ind w:firstLine="512" w:firstLineChars="98"/>
        <w:jc w:val="center"/>
        <w:rPr>
          <w:rFonts w:hint="eastAsia"/>
          <w:b/>
          <w:sz w:val="52"/>
          <w:szCs w:val="52"/>
        </w:rPr>
      </w:pPr>
      <w:r>
        <w:rPr>
          <w:rFonts w:hint="eastAsia"/>
          <w:b/>
          <w:sz w:val="52"/>
          <w:szCs w:val="52"/>
        </w:rPr>
        <w:t xml:space="preserve"> 项目前期物业管理</w:t>
      </w:r>
    </w:p>
    <w:p>
      <w:pPr>
        <w:rPr>
          <w:rFonts w:hint="eastAsia"/>
          <w:b/>
          <w:sz w:val="52"/>
          <w:szCs w:val="52"/>
        </w:rPr>
      </w:pPr>
    </w:p>
    <w:p>
      <w:pPr>
        <w:rPr>
          <w:rFonts w:hint="eastAsia"/>
          <w:b/>
          <w:sz w:val="52"/>
          <w:szCs w:val="52"/>
        </w:rPr>
      </w:pPr>
    </w:p>
    <w:p>
      <w:pPr>
        <w:rPr>
          <w:rFonts w:hint="eastAsia"/>
          <w:b/>
          <w:sz w:val="52"/>
          <w:szCs w:val="52"/>
        </w:rPr>
      </w:pPr>
    </w:p>
    <w:p>
      <w:pPr>
        <w:jc w:val="center"/>
        <w:rPr>
          <w:rFonts w:hint="eastAsia"/>
          <w:b/>
          <w:sz w:val="84"/>
          <w:szCs w:val="84"/>
        </w:rPr>
      </w:pPr>
      <w:r>
        <w:rPr>
          <w:rFonts w:hint="eastAsia"/>
          <w:b/>
          <w:sz w:val="84"/>
          <w:szCs w:val="84"/>
        </w:rPr>
        <w:t>招 标 文 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pStyle w:val="18"/>
        <w:spacing w:line="600" w:lineRule="auto"/>
        <w:ind w:firstLine="2088" w:firstLineChars="650"/>
        <w:rPr>
          <w:rFonts w:hint="eastAsia" w:ascii="宋体" w:hAnsi="宋体" w:eastAsia="黑体"/>
          <w:sz w:val="32"/>
          <w:szCs w:val="32"/>
          <w:lang w:eastAsia="zh-CN"/>
        </w:rPr>
      </w:pPr>
      <w:r>
        <w:rPr>
          <w:rFonts w:hint="eastAsia" w:ascii="宋体" w:hAnsi="宋体" w:eastAsia="宋体"/>
          <w:sz w:val="32"/>
          <w:szCs w:val="32"/>
        </w:rPr>
        <w:t>招  标  人:</w:t>
      </w:r>
      <w:r>
        <w:rPr>
          <w:rFonts w:hint="eastAsia"/>
        </w:rPr>
        <w:t xml:space="preserve"> </w:t>
      </w:r>
      <w:r>
        <w:rPr>
          <w:rFonts w:hint="eastAsia"/>
          <w:lang w:eastAsia="zh-CN"/>
        </w:rPr>
        <w:t>安徽国翠玉艺股份有限公司</w:t>
      </w:r>
    </w:p>
    <w:p>
      <w:pPr>
        <w:pStyle w:val="18"/>
        <w:rPr>
          <w:rFonts w:hint="eastAsia" w:ascii="宋体" w:hAnsi="宋体" w:eastAsia="宋体"/>
          <w:sz w:val="32"/>
        </w:rPr>
      </w:pPr>
    </w:p>
    <w:p>
      <w:pPr>
        <w:pStyle w:val="18"/>
        <w:rPr>
          <w:rFonts w:hint="eastAsia" w:ascii="宋体" w:hAnsi="宋体" w:eastAsia="宋体"/>
          <w:sz w:val="32"/>
        </w:rPr>
      </w:pPr>
    </w:p>
    <w:p>
      <w:pPr>
        <w:pStyle w:val="18"/>
        <w:spacing w:line="360" w:lineRule="auto"/>
        <w:jc w:val="center"/>
        <w:rPr>
          <w:rFonts w:ascii="宋体" w:hAnsi="宋体" w:eastAsia="宋体"/>
          <w:sz w:val="32"/>
          <w:szCs w:val="32"/>
          <w:highlight w:val="none"/>
        </w:rPr>
      </w:pPr>
      <w:r>
        <w:rPr>
          <w:rFonts w:hint="eastAsia" w:ascii="宋体" w:hAnsi="宋体" w:eastAsia="宋体"/>
          <w:sz w:val="32"/>
          <w:szCs w:val="32"/>
          <w:highlight w:val="none"/>
        </w:rPr>
        <w:t xml:space="preserve">2022年 </w:t>
      </w:r>
      <w:r>
        <w:rPr>
          <w:rFonts w:hint="eastAsia" w:ascii="宋体" w:hAnsi="宋体" w:eastAsia="宋体"/>
          <w:sz w:val="32"/>
          <w:szCs w:val="32"/>
          <w:highlight w:val="none"/>
          <w:lang w:val="en-US" w:eastAsia="zh-CN"/>
        </w:rPr>
        <w:t>7</w:t>
      </w:r>
      <w:r>
        <w:rPr>
          <w:rFonts w:hint="eastAsia" w:ascii="宋体" w:hAnsi="宋体" w:eastAsia="宋体"/>
          <w:sz w:val="32"/>
          <w:szCs w:val="32"/>
          <w:highlight w:val="none"/>
        </w:rPr>
        <w:t>月</w:t>
      </w:r>
      <w:r>
        <w:rPr>
          <w:rFonts w:hint="eastAsia" w:ascii="宋体" w:hAnsi="宋体" w:eastAsia="宋体"/>
          <w:sz w:val="32"/>
          <w:szCs w:val="32"/>
          <w:highlight w:val="none"/>
          <w:lang w:val="en-US" w:eastAsia="zh-CN"/>
        </w:rPr>
        <w:t>21</w:t>
      </w:r>
      <w:r>
        <w:rPr>
          <w:rFonts w:hint="eastAsia" w:ascii="宋体" w:hAnsi="宋体" w:eastAsia="宋体"/>
          <w:sz w:val="32"/>
          <w:szCs w:val="32"/>
          <w:highlight w:val="none"/>
        </w:rPr>
        <w:t xml:space="preserve"> 日</w:t>
      </w:r>
    </w:p>
    <w:p>
      <w:pPr>
        <w:spacing w:line="500" w:lineRule="exact"/>
        <w:jc w:val="center"/>
        <w:rPr>
          <w:rFonts w:hint="eastAsia" w:ascii="仿宋_GB2312" w:eastAsia="仿宋_GB2312"/>
          <w:b/>
          <w:bCs/>
          <w:sz w:val="32"/>
        </w:rPr>
      </w:pPr>
    </w:p>
    <w:p>
      <w:pPr>
        <w:spacing w:line="500" w:lineRule="exact"/>
        <w:jc w:val="center"/>
        <w:rPr>
          <w:rFonts w:hint="eastAsia" w:ascii="仿宋_GB2312" w:eastAsia="仿宋_GB2312"/>
          <w:b/>
          <w:bCs/>
          <w:sz w:val="32"/>
        </w:rPr>
      </w:pPr>
    </w:p>
    <w:p>
      <w:pPr>
        <w:pStyle w:val="3"/>
        <w:spacing w:before="0" w:after="0" w:line="400" w:lineRule="exact"/>
        <w:jc w:val="center"/>
        <w:rPr>
          <w:rFonts w:hint="eastAsia" w:ascii="黑体" w:hAnsi="宋体" w:eastAsia="黑体"/>
          <w:sz w:val="32"/>
        </w:rPr>
      </w:pPr>
    </w:p>
    <w:p>
      <w:pPr>
        <w:pStyle w:val="3"/>
        <w:spacing w:before="0" w:after="0" w:line="400" w:lineRule="exact"/>
        <w:jc w:val="center"/>
        <w:rPr>
          <w:rFonts w:hint="eastAsia" w:ascii="黑体" w:hAnsi="宋体" w:eastAsia="黑体"/>
          <w:sz w:val="32"/>
        </w:rPr>
      </w:pPr>
    </w:p>
    <w:p>
      <w:pPr>
        <w:pStyle w:val="3"/>
        <w:spacing w:before="0" w:after="0" w:line="400" w:lineRule="exact"/>
        <w:jc w:val="center"/>
        <w:rPr>
          <w:rFonts w:hint="eastAsia" w:ascii="黑体" w:hAnsi="宋体" w:eastAsia="黑体"/>
          <w:sz w:val="32"/>
        </w:rPr>
      </w:pPr>
    </w:p>
    <w:p>
      <w:pPr>
        <w:pStyle w:val="3"/>
        <w:spacing w:before="0" w:after="0" w:line="360" w:lineRule="auto"/>
        <w:jc w:val="center"/>
        <w:rPr>
          <w:rFonts w:hint="eastAsia" w:ascii="黑体" w:hAnsi="宋体" w:eastAsia="黑体"/>
          <w:sz w:val="32"/>
        </w:rPr>
      </w:pPr>
      <w:r>
        <w:rPr>
          <w:rFonts w:hint="eastAsia" w:ascii="黑体" w:hAnsi="宋体" w:eastAsia="黑体"/>
          <w:sz w:val="32"/>
        </w:rPr>
        <w:t>目  录</w:t>
      </w:r>
    </w:p>
    <w:p>
      <w:pPr>
        <w:pStyle w:val="41"/>
        <w:tabs>
          <w:tab w:val="right" w:leader="dot" w:pos="9403"/>
        </w:tabs>
        <w:spacing w:line="360" w:lineRule="auto"/>
        <w:rPr>
          <w:rFonts w:ascii="宋体" w:hAnsi="宋体"/>
          <w:smallCaps w:val="0"/>
          <w:szCs w:val="28"/>
        </w:rPr>
      </w:pPr>
      <w:bookmarkStart w:id="0" w:name="_Hlt519045295"/>
      <w:bookmarkEnd w:id="0"/>
      <w:bookmarkStart w:id="1" w:name="_Hlt526418134"/>
      <w:bookmarkEnd w:id="1"/>
      <w:bookmarkStart w:id="2" w:name="_Hlt533241375"/>
      <w:bookmarkEnd w:id="2"/>
      <w:r>
        <w:rPr>
          <w:rFonts w:hint="eastAsia" w:ascii="宋体" w:hAnsi="宋体"/>
          <w:szCs w:val="28"/>
        </w:rPr>
        <w:fldChar w:fldCharType="begin"/>
      </w:r>
      <w:r>
        <w:rPr>
          <w:rStyle w:val="56"/>
          <w:rFonts w:hint="eastAsia" w:ascii="宋体" w:hAnsi="宋体"/>
          <w:color w:val="auto"/>
          <w:szCs w:val="28"/>
        </w:rPr>
        <w:instrText xml:space="preserve"> TOC \o "1-3" \h \z </w:instrText>
      </w:r>
      <w:r>
        <w:rPr>
          <w:rFonts w:hint="eastAsia" w:ascii="宋体" w:hAnsi="宋体"/>
          <w:szCs w:val="28"/>
        </w:rPr>
        <w:fldChar w:fldCharType="separate"/>
      </w:r>
      <w:r>
        <w:rPr>
          <w:rFonts w:ascii="宋体" w:hAnsi="宋体"/>
          <w:szCs w:val="28"/>
        </w:rPr>
        <w:fldChar w:fldCharType="begin"/>
      </w:r>
      <w:r>
        <w:rPr>
          <w:rStyle w:val="56"/>
          <w:rFonts w:ascii="宋体" w:hAnsi="宋体"/>
          <w:color w:val="auto"/>
          <w:szCs w:val="28"/>
        </w:rPr>
        <w:instrText xml:space="preserve"> </w:instrText>
      </w:r>
      <w:r>
        <w:rPr>
          <w:rFonts w:ascii="宋体" w:hAnsi="宋体"/>
          <w:szCs w:val="28"/>
        </w:rPr>
        <w:instrText xml:space="preserve">HYPERLINK \l "_Toc504073347"</w:instrText>
      </w:r>
      <w:r>
        <w:rPr>
          <w:rStyle w:val="56"/>
          <w:rFonts w:ascii="宋体" w:hAnsi="宋体"/>
          <w:color w:val="auto"/>
          <w:szCs w:val="28"/>
        </w:rPr>
        <w:instrText xml:space="preserve"> </w:instrText>
      </w:r>
      <w:r>
        <w:rPr>
          <w:rFonts w:ascii="宋体" w:hAnsi="宋体"/>
          <w:szCs w:val="28"/>
        </w:rPr>
        <w:fldChar w:fldCharType="separate"/>
      </w:r>
      <w:r>
        <w:rPr>
          <w:rStyle w:val="56"/>
          <w:rFonts w:hint="eastAsia" w:ascii="宋体" w:hAnsi="宋体"/>
          <w:color w:val="auto"/>
          <w:szCs w:val="28"/>
        </w:rPr>
        <w:t>第一章</w:t>
      </w:r>
      <w:r>
        <w:rPr>
          <w:rStyle w:val="56"/>
          <w:rFonts w:ascii="宋体" w:hAnsi="宋体"/>
          <w:color w:val="auto"/>
          <w:szCs w:val="28"/>
        </w:rPr>
        <w:t xml:space="preserve"> </w:t>
      </w:r>
      <w:r>
        <w:rPr>
          <w:rStyle w:val="56"/>
          <w:rFonts w:hint="eastAsia" w:ascii="宋体" w:hAnsi="宋体"/>
          <w:color w:val="auto"/>
          <w:szCs w:val="28"/>
        </w:rPr>
        <w:t>招标公告</w:t>
      </w:r>
      <w:r>
        <w:rPr>
          <w:rFonts w:ascii="宋体" w:hAnsi="宋体"/>
          <w:szCs w:val="28"/>
        </w:rPr>
        <w:tab/>
      </w:r>
      <w:r>
        <w:rPr>
          <w:rFonts w:ascii="宋体" w:hAnsi="宋体"/>
          <w:szCs w:val="28"/>
        </w:rPr>
        <w:fldChar w:fldCharType="begin"/>
      </w:r>
      <w:r>
        <w:rPr>
          <w:rFonts w:ascii="宋体" w:hAnsi="宋体"/>
          <w:szCs w:val="28"/>
        </w:rPr>
        <w:instrText xml:space="preserve"> PAGEREF _Toc504073347 \h </w:instrText>
      </w:r>
      <w:r>
        <w:rPr>
          <w:rFonts w:ascii="宋体" w:hAnsi="宋体"/>
          <w:szCs w:val="28"/>
        </w:rPr>
        <w:fldChar w:fldCharType="separate"/>
      </w:r>
      <w:r>
        <w:rPr>
          <w:rFonts w:ascii="宋体" w:hAnsi="宋体"/>
          <w:szCs w:val="28"/>
        </w:rPr>
        <w:t>3</w:t>
      </w:r>
      <w:r>
        <w:rPr>
          <w:rFonts w:ascii="宋体" w:hAnsi="宋体"/>
          <w:szCs w:val="28"/>
        </w:rPr>
        <w:fldChar w:fldCharType="end"/>
      </w:r>
      <w:r>
        <w:rPr>
          <w:rFonts w:ascii="宋体" w:hAnsi="宋体"/>
          <w:szCs w:val="28"/>
        </w:rPr>
        <w:fldChar w:fldCharType="end"/>
      </w:r>
    </w:p>
    <w:p>
      <w:pPr>
        <w:pStyle w:val="41"/>
        <w:tabs>
          <w:tab w:val="right" w:leader="dot" w:pos="9403"/>
        </w:tabs>
        <w:spacing w:line="360" w:lineRule="auto"/>
        <w:rPr>
          <w:rFonts w:ascii="宋体" w:hAnsi="宋体"/>
          <w:smallCaps w:val="0"/>
          <w:szCs w:val="28"/>
        </w:rPr>
      </w:pPr>
      <w:r>
        <w:rPr>
          <w:rFonts w:ascii="宋体" w:hAnsi="宋体"/>
          <w:szCs w:val="28"/>
        </w:rPr>
        <w:fldChar w:fldCharType="begin"/>
      </w:r>
      <w:r>
        <w:rPr>
          <w:rStyle w:val="56"/>
          <w:rFonts w:ascii="宋体" w:hAnsi="宋体"/>
          <w:color w:val="auto"/>
          <w:szCs w:val="28"/>
        </w:rPr>
        <w:instrText xml:space="preserve"> </w:instrText>
      </w:r>
      <w:r>
        <w:rPr>
          <w:rFonts w:ascii="宋体" w:hAnsi="宋体"/>
          <w:szCs w:val="28"/>
        </w:rPr>
        <w:instrText xml:space="preserve">HYPERLINK \l "_Toc504073348"</w:instrText>
      </w:r>
      <w:r>
        <w:rPr>
          <w:rStyle w:val="56"/>
          <w:rFonts w:ascii="宋体" w:hAnsi="宋体"/>
          <w:color w:val="auto"/>
          <w:szCs w:val="28"/>
        </w:rPr>
        <w:instrText xml:space="preserve"> </w:instrText>
      </w:r>
      <w:r>
        <w:rPr>
          <w:rFonts w:ascii="宋体" w:hAnsi="宋体"/>
          <w:szCs w:val="28"/>
        </w:rPr>
        <w:fldChar w:fldCharType="separate"/>
      </w:r>
      <w:r>
        <w:rPr>
          <w:rStyle w:val="56"/>
          <w:rFonts w:hint="eastAsia" w:ascii="宋体" w:hAnsi="宋体"/>
          <w:color w:val="auto"/>
          <w:szCs w:val="28"/>
        </w:rPr>
        <w:t>第二章</w:t>
      </w:r>
      <w:r>
        <w:rPr>
          <w:rStyle w:val="56"/>
          <w:rFonts w:ascii="宋体" w:hAnsi="宋体"/>
          <w:color w:val="auto"/>
          <w:szCs w:val="28"/>
        </w:rPr>
        <w:t xml:space="preserve"> </w:t>
      </w:r>
      <w:r>
        <w:rPr>
          <w:rStyle w:val="56"/>
          <w:rFonts w:hint="eastAsia" w:ascii="宋体" w:hAnsi="宋体"/>
          <w:color w:val="auto"/>
          <w:szCs w:val="28"/>
        </w:rPr>
        <w:t>投标人须知前附表</w:t>
      </w:r>
      <w:r>
        <w:rPr>
          <w:rFonts w:ascii="宋体" w:hAnsi="宋体"/>
          <w:szCs w:val="28"/>
        </w:rPr>
        <w:tab/>
      </w:r>
      <w:r>
        <w:rPr>
          <w:rFonts w:hint="eastAsia" w:ascii="宋体" w:hAnsi="宋体"/>
          <w:szCs w:val="28"/>
        </w:rPr>
        <w:t>5</w:t>
      </w:r>
      <w:r>
        <w:rPr>
          <w:rFonts w:ascii="宋体" w:hAnsi="宋体"/>
          <w:szCs w:val="28"/>
        </w:rPr>
        <w:fldChar w:fldCharType="end"/>
      </w:r>
    </w:p>
    <w:p>
      <w:pPr>
        <w:pStyle w:val="41"/>
        <w:tabs>
          <w:tab w:val="right" w:leader="dot" w:pos="9403"/>
        </w:tabs>
        <w:spacing w:line="360" w:lineRule="auto"/>
        <w:rPr>
          <w:rFonts w:ascii="宋体" w:hAnsi="宋体"/>
          <w:smallCaps w:val="0"/>
          <w:szCs w:val="28"/>
        </w:rPr>
      </w:pPr>
      <w:r>
        <w:rPr>
          <w:rFonts w:ascii="宋体" w:hAnsi="宋体"/>
          <w:szCs w:val="28"/>
        </w:rPr>
        <w:fldChar w:fldCharType="begin"/>
      </w:r>
      <w:r>
        <w:rPr>
          <w:rStyle w:val="56"/>
          <w:rFonts w:ascii="宋体" w:hAnsi="宋体"/>
          <w:color w:val="auto"/>
          <w:szCs w:val="28"/>
        </w:rPr>
        <w:instrText xml:space="preserve"> </w:instrText>
      </w:r>
      <w:r>
        <w:rPr>
          <w:rFonts w:ascii="宋体" w:hAnsi="宋体"/>
          <w:szCs w:val="28"/>
        </w:rPr>
        <w:instrText xml:space="preserve">HYPERLINK \l "_Toc504073349"</w:instrText>
      </w:r>
      <w:r>
        <w:rPr>
          <w:rStyle w:val="56"/>
          <w:rFonts w:ascii="宋体" w:hAnsi="宋体"/>
          <w:color w:val="auto"/>
          <w:szCs w:val="28"/>
        </w:rPr>
        <w:instrText xml:space="preserve"> </w:instrText>
      </w:r>
      <w:r>
        <w:rPr>
          <w:rFonts w:ascii="宋体" w:hAnsi="宋体"/>
          <w:szCs w:val="28"/>
        </w:rPr>
        <w:fldChar w:fldCharType="separate"/>
      </w:r>
      <w:r>
        <w:rPr>
          <w:rStyle w:val="56"/>
          <w:rFonts w:hint="eastAsia" w:ascii="宋体" w:hAnsi="宋体"/>
          <w:color w:val="auto"/>
          <w:szCs w:val="28"/>
        </w:rPr>
        <w:t>第三章</w:t>
      </w:r>
      <w:r>
        <w:rPr>
          <w:rStyle w:val="56"/>
          <w:rFonts w:ascii="宋体" w:hAnsi="宋体"/>
          <w:color w:val="auto"/>
          <w:szCs w:val="28"/>
        </w:rPr>
        <w:t xml:space="preserve"> </w:t>
      </w:r>
      <w:r>
        <w:rPr>
          <w:rStyle w:val="56"/>
          <w:rFonts w:hint="eastAsia" w:ascii="宋体" w:hAnsi="宋体"/>
          <w:color w:val="auto"/>
          <w:szCs w:val="28"/>
        </w:rPr>
        <w:t>招标需求</w:t>
      </w:r>
      <w:r>
        <w:rPr>
          <w:rFonts w:ascii="宋体" w:hAnsi="宋体"/>
          <w:szCs w:val="28"/>
        </w:rPr>
        <w:tab/>
      </w:r>
      <w:r>
        <w:rPr>
          <w:rFonts w:ascii="宋体" w:hAnsi="宋体"/>
          <w:szCs w:val="28"/>
        </w:rPr>
        <w:fldChar w:fldCharType="begin"/>
      </w:r>
      <w:r>
        <w:rPr>
          <w:rFonts w:ascii="宋体" w:hAnsi="宋体"/>
          <w:szCs w:val="28"/>
        </w:rPr>
        <w:instrText xml:space="preserve"> PAGEREF _Toc504073349 \h </w:instrText>
      </w:r>
      <w:r>
        <w:rPr>
          <w:rFonts w:ascii="宋体" w:hAnsi="宋体"/>
          <w:szCs w:val="28"/>
        </w:rPr>
        <w:fldChar w:fldCharType="separate"/>
      </w:r>
      <w:r>
        <w:rPr>
          <w:rFonts w:ascii="宋体" w:hAnsi="宋体"/>
          <w:szCs w:val="28"/>
        </w:rPr>
        <w:t>7</w:t>
      </w:r>
      <w:r>
        <w:rPr>
          <w:rFonts w:ascii="宋体" w:hAnsi="宋体"/>
          <w:szCs w:val="28"/>
        </w:rPr>
        <w:fldChar w:fldCharType="end"/>
      </w:r>
      <w:r>
        <w:rPr>
          <w:rFonts w:ascii="宋体" w:hAnsi="宋体"/>
          <w:szCs w:val="28"/>
        </w:rPr>
        <w:fldChar w:fldCharType="end"/>
      </w:r>
    </w:p>
    <w:p>
      <w:pPr>
        <w:pStyle w:val="41"/>
        <w:tabs>
          <w:tab w:val="right" w:leader="dot" w:pos="9403"/>
        </w:tabs>
        <w:spacing w:line="360" w:lineRule="auto"/>
        <w:rPr>
          <w:rFonts w:hint="eastAsia" w:ascii="宋体" w:hAnsi="宋体"/>
          <w:szCs w:val="28"/>
        </w:rPr>
      </w:pPr>
      <w:r>
        <w:rPr>
          <w:rFonts w:ascii="宋体" w:hAnsi="宋体"/>
          <w:szCs w:val="28"/>
        </w:rPr>
        <w:fldChar w:fldCharType="begin"/>
      </w:r>
      <w:r>
        <w:rPr>
          <w:rStyle w:val="56"/>
          <w:rFonts w:ascii="宋体" w:hAnsi="宋体"/>
          <w:color w:val="auto"/>
          <w:szCs w:val="28"/>
        </w:rPr>
        <w:instrText xml:space="preserve"> </w:instrText>
      </w:r>
      <w:r>
        <w:rPr>
          <w:rFonts w:ascii="宋体" w:hAnsi="宋体"/>
          <w:szCs w:val="28"/>
        </w:rPr>
        <w:instrText xml:space="preserve">HYPERLINK \l "_Toc504073349"</w:instrText>
      </w:r>
      <w:r>
        <w:rPr>
          <w:rStyle w:val="56"/>
          <w:rFonts w:ascii="宋体" w:hAnsi="宋体"/>
          <w:color w:val="auto"/>
          <w:szCs w:val="28"/>
        </w:rPr>
        <w:instrText xml:space="preserve"> </w:instrText>
      </w:r>
      <w:r>
        <w:rPr>
          <w:rFonts w:ascii="宋体" w:hAnsi="宋体"/>
          <w:szCs w:val="28"/>
        </w:rPr>
        <w:fldChar w:fldCharType="separate"/>
      </w:r>
      <w:r>
        <w:rPr>
          <w:rStyle w:val="56"/>
          <w:rFonts w:hint="eastAsia" w:ascii="宋体" w:hAnsi="宋体"/>
          <w:color w:val="auto"/>
          <w:szCs w:val="28"/>
        </w:rPr>
        <w:t>第四章</w:t>
      </w:r>
      <w:r>
        <w:rPr>
          <w:rStyle w:val="56"/>
          <w:rFonts w:ascii="宋体" w:hAnsi="宋体"/>
          <w:color w:val="auto"/>
          <w:szCs w:val="28"/>
        </w:rPr>
        <w:t xml:space="preserve"> </w:t>
      </w:r>
      <w:r>
        <w:rPr>
          <w:rStyle w:val="56"/>
          <w:rFonts w:hint="eastAsia" w:ascii="宋体" w:hAnsi="宋体"/>
          <w:color w:val="auto"/>
          <w:szCs w:val="28"/>
        </w:rPr>
        <w:t>评标办法</w:t>
      </w:r>
      <w:r>
        <w:rPr>
          <w:rFonts w:ascii="宋体" w:hAnsi="宋体"/>
          <w:szCs w:val="28"/>
        </w:rPr>
        <w:tab/>
      </w:r>
      <w:r>
        <w:rPr>
          <w:rFonts w:hint="eastAsia" w:ascii="宋体" w:hAnsi="宋体"/>
          <w:szCs w:val="28"/>
        </w:rPr>
        <w:t>1</w:t>
      </w:r>
      <w:r>
        <w:rPr>
          <w:rFonts w:ascii="宋体" w:hAnsi="宋体"/>
          <w:szCs w:val="28"/>
        </w:rPr>
        <w:fldChar w:fldCharType="end"/>
      </w:r>
      <w:r>
        <w:rPr>
          <w:rFonts w:hint="eastAsia" w:ascii="宋体" w:hAnsi="宋体"/>
          <w:szCs w:val="28"/>
        </w:rPr>
        <w:t>2</w:t>
      </w:r>
    </w:p>
    <w:p>
      <w:pPr>
        <w:pStyle w:val="33"/>
        <w:tabs>
          <w:tab w:val="right" w:leader="dot" w:pos="9403"/>
        </w:tabs>
        <w:spacing w:line="360" w:lineRule="auto"/>
        <w:rPr>
          <w:rFonts w:hint="eastAsia" w:ascii="宋体" w:hAnsi="宋体"/>
          <w:caps w:val="0"/>
          <w:sz w:val="28"/>
          <w:szCs w:val="28"/>
        </w:rPr>
      </w:pPr>
      <w:r>
        <w:rPr>
          <w:rFonts w:ascii="宋体" w:hAnsi="宋体"/>
          <w:sz w:val="28"/>
          <w:szCs w:val="28"/>
        </w:rPr>
        <w:fldChar w:fldCharType="begin"/>
      </w:r>
      <w:r>
        <w:rPr>
          <w:rStyle w:val="56"/>
          <w:rFonts w:ascii="宋体" w:hAnsi="宋体"/>
          <w:color w:val="auto"/>
          <w:sz w:val="28"/>
          <w:szCs w:val="28"/>
        </w:rPr>
        <w:instrText xml:space="preserve"> </w:instrText>
      </w:r>
      <w:r>
        <w:rPr>
          <w:rFonts w:ascii="宋体" w:hAnsi="宋体"/>
          <w:sz w:val="28"/>
          <w:szCs w:val="28"/>
        </w:rPr>
        <w:instrText xml:space="preserve">HYPERLINK \l "_Toc504073350"</w:instrText>
      </w:r>
      <w:r>
        <w:rPr>
          <w:rStyle w:val="56"/>
          <w:rFonts w:ascii="宋体" w:hAnsi="宋体"/>
          <w:color w:val="auto"/>
          <w:sz w:val="28"/>
          <w:szCs w:val="28"/>
        </w:rPr>
        <w:instrText xml:space="preserve"> </w:instrText>
      </w:r>
      <w:r>
        <w:rPr>
          <w:rFonts w:ascii="宋体" w:hAnsi="宋体"/>
          <w:sz w:val="28"/>
          <w:szCs w:val="28"/>
        </w:rPr>
        <w:fldChar w:fldCharType="separate"/>
      </w:r>
      <w:r>
        <w:rPr>
          <w:rStyle w:val="56"/>
          <w:rFonts w:hint="eastAsia" w:ascii="宋体" w:hAnsi="宋体"/>
          <w:color w:val="auto"/>
          <w:sz w:val="28"/>
          <w:szCs w:val="28"/>
        </w:rPr>
        <w:t>招标文件第二部分</w:t>
      </w:r>
      <w:r>
        <w:rPr>
          <w:rFonts w:ascii="宋体" w:hAnsi="宋体"/>
          <w:sz w:val="28"/>
          <w:szCs w:val="28"/>
        </w:rPr>
        <w:tab/>
      </w:r>
      <w:r>
        <w:rPr>
          <w:rFonts w:hint="eastAsia" w:ascii="宋体" w:hAnsi="宋体"/>
          <w:sz w:val="28"/>
          <w:szCs w:val="28"/>
        </w:rPr>
        <w:t>2</w:t>
      </w:r>
      <w:r>
        <w:rPr>
          <w:rFonts w:ascii="宋体" w:hAnsi="宋体"/>
          <w:sz w:val="28"/>
          <w:szCs w:val="28"/>
        </w:rPr>
        <w:fldChar w:fldCharType="end"/>
      </w:r>
      <w:r>
        <w:rPr>
          <w:rFonts w:hint="eastAsia" w:ascii="宋体" w:hAnsi="宋体"/>
          <w:sz w:val="28"/>
          <w:szCs w:val="28"/>
        </w:rPr>
        <w:t>0</w:t>
      </w:r>
    </w:p>
    <w:p>
      <w:pPr>
        <w:pStyle w:val="41"/>
        <w:tabs>
          <w:tab w:val="right" w:leader="dot" w:pos="9403"/>
        </w:tabs>
        <w:spacing w:line="360" w:lineRule="auto"/>
        <w:rPr>
          <w:rFonts w:hint="eastAsia" w:ascii="宋体" w:hAnsi="宋体"/>
          <w:smallCaps w:val="0"/>
          <w:szCs w:val="28"/>
        </w:rPr>
      </w:pPr>
      <w:r>
        <w:rPr>
          <w:rFonts w:ascii="宋体" w:hAnsi="宋体"/>
          <w:szCs w:val="28"/>
        </w:rPr>
        <w:fldChar w:fldCharType="begin"/>
      </w:r>
      <w:r>
        <w:rPr>
          <w:rStyle w:val="56"/>
          <w:rFonts w:ascii="宋体" w:hAnsi="宋体"/>
          <w:color w:val="auto"/>
          <w:szCs w:val="28"/>
        </w:rPr>
        <w:instrText xml:space="preserve"> </w:instrText>
      </w:r>
      <w:r>
        <w:rPr>
          <w:rFonts w:ascii="宋体" w:hAnsi="宋体"/>
          <w:szCs w:val="28"/>
        </w:rPr>
        <w:instrText xml:space="preserve">HYPERLINK \l "_Toc504073351"</w:instrText>
      </w:r>
      <w:r>
        <w:rPr>
          <w:rStyle w:val="56"/>
          <w:rFonts w:ascii="宋体" w:hAnsi="宋体"/>
          <w:color w:val="auto"/>
          <w:szCs w:val="28"/>
        </w:rPr>
        <w:instrText xml:space="preserve"> </w:instrText>
      </w:r>
      <w:r>
        <w:rPr>
          <w:rFonts w:ascii="宋体" w:hAnsi="宋体"/>
          <w:szCs w:val="28"/>
        </w:rPr>
        <w:fldChar w:fldCharType="separate"/>
      </w:r>
      <w:r>
        <w:rPr>
          <w:rStyle w:val="56"/>
          <w:rFonts w:hint="eastAsia" w:ascii="宋体" w:hAnsi="宋体"/>
          <w:color w:val="auto"/>
          <w:szCs w:val="28"/>
        </w:rPr>
        <w:t>第五章</w:t>
      </w:r>
      <w:r>
        <w:rPr>
          <w:rStyle w:val="56"/>
          <w:rFonts w:ascii="宋体" w:hAnsi="宋体"/>
          <w:color w:val="auto"/>
          <w:szCs w:val="28"/>
        </w:rPr>
        <w:t xml:space="preserve"> </w:t>
      </w:r>
      <w:r>
        <w:rPr>
          <w:rStyle w:val="56"/>
          <w:rFonts w:hint="eastAsia" w:ascii="宋体" w:hAnsi="宋体"/>
          <w:color w:val="auto"/>
          <w:szCs w:val="28"/>
        </w:rPr>
        <w:t>投标人须知</w:t>
      </w:r>
      <w:r>
        <w:rPr>
          <w:rFonts w:ascii="宋体" w:hAnsi="宋体"/>
          <w:szCs w:val="28"/>
        </w:rPr>
        <w:tab/>
      </w:r>
      <w:r>
        <w:rPr>
          <w:rFonts w:hint="eastAsia" w:ascii="宋体" w:hAnsi="宋体"/>
          <w:szCs w:val="28"/>
        </w:rPr>
        <w:t>2</w:t>
      </w:r>
      <w:r>
        <w:rPr>
          <w:rFonts w:ascii="宋体" w:hAnsi="宋体"/>
          <w:szCs w:val="28"/>
        </w:rPr>
        <w:fldChar w:fldCharType="end"/>
      </w:r>
      <w:r>
        <w:rPr>
          <w:rFonts w:hint="eastAsia" w:ascii="宋体" w:hAnsi="宋体"/>
          <w:szCs w:val="28"/>
        </w:rPr>
        <w:t>0</w:t>
      </w:r>
    </w:p>
    <w:p>
      <w:pPr>
        <w:pStyle w:val="24"/>
        <w:tabs>
          <w:tab w:val="right" w:leader="dot" w:pos="9403"/>
        </w:tabs>
        <w:spacing w:line="360" w:lineRule="auto"/>
        <w:rPr>
          <w:rFonts w:hint="eastAsia" w:ascii="宋体" w:hAnsi="宋体"/>
          <w:i w:val="0"/>
          <w:iCs w:val="0"/>
          <w:sz w:val="28"/>
          <w:szCs w:val="28"/>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"_Toc504073352"</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一．总</w:t>
      </w:r>
      <w:r>
        <w:rPr>
          <w:rStyle w:val="56"/>
          <w:rFonts w:ascii="宋体" w:hAnsi="宋体"/>
          <w:i w:val="0"/>
          <w:color w:val="auto"/>
          <w:sz w:val="28"/>
          <w:szCs w:val="28"/>
        </w:rPr>
        <w:t xml:space="preserve">    </w:t>
      </w:r>
      <w:r>
        <w:rPr>
          <w:rStyle w:val="56"/>
          <w:rFonts w:hint="eastAsia" w:ascii="宋体" w:hAnsi="宋体"/>
          <w:i w:val="0"/>
          <w:color w:val="auto"/>
          <w:sz w:val="28"/>
          <w:szCs w:val="28"/>
        </w:rPr>
        <w:t>则</w:t>
      </w:r>
      <w:r>
        <w:rPr>
          <w:rFonts w:ascii="宋体" w:hAnsi="宋体"/>
          <w:i w:val="0"/>
          <w:sz w:val="28"/>
          <w:szCs w:val="28"/>
        </w:rPr>
        <w:tab/>
      </w:r>
      <w:r>
        <w:rPr>
          <w:rFonts w:hint="eastAsia" w:ascii="宋体" w:hAnsi="宋体"/>
          <w:i w:val="0"/>
          <w:sz w:val="28"/>
          <w:szCs w:val="28"/>
        </w:rPr>
        <w:t>2</w:t>
      </w:r>
      <w:r>
        <w:rPr>
          <w:rFonts w:ascii="宋体" w:hAnsi="宋体"/>
          <w:i w:val="0"/>
          <w:sz w:val="28"/>
          <w:szCs w:val="28"/>
        </w:rPr>
        <w:fldChar w:fldCharType="end"/>
      </w:r>
      <w:r>
        <w:rPr>
          <w:rFonts w:hint="eastAsia" w:ascii="宋体" w:hAnsi="宋体"/>
          <w:i w:val="0"/>
          <w:sz w:val="28"/>
          <w:szCs w:val="28"/>
        </w:rPr>
        <w:t>0</w:t>
      </w:r>
    </w:p>
    <w:p>
      <w:pPr>
        <w:pStyle w:val="24"/>
        <w:tabs>
          <w:tab w:val="right" w:leader="dot" w:pos="9403"/>
        </w:tabs>
        <w:spacing w:line="360" w:lineRule="auto"/>
        <w:rPr>
          <w:rFonts w:ascii="宋体" w:hAnsi="宋体"/>
          <w:i w:val="0"/>
          <w:iCs w:val="0"/>
          <w:sz w:val="28"/>
          <w:szCs w:val="28"/>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"_Toc504073353"</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二．招标文件</w:t>
      </w:r>
      <w:r>
        <w:rPr>
          <w:rFonts w:ascii="宋体" w:hAnsi="宋体"/>
          <w:i w:val="0"/>
          <w:sz w:val="28"/>
          <w:szCs w:val="28"/>
        </w:rPr>
        <w:tab/>
      </w:r>
      <w:r>
        <w:rPr>
          <w:rFonts w:ascii="宋体" w:hAnsi="宋体"/>
          <w:i w:val="0"/>
          <w:sz w:val="28"/>
          <w:szCs w:val="28"/>
        </w:rPr>
        <w:fldChar w:fldCharType="begin"/>
      </w:r>
      <w:r>
        <w:rPr>
          <w:rFonts w:ascii="宋体" w:hAnsi="宋体"/>
          <w:i w:val="0"/>
          <w:sz w:val="28"/>
          <w:szCs w:val="28"/>
        </w:rPr>
        <w:instrText xml:space="preserve"> PAGEREF _Toc504073353 \h </w:instrText>
      </w:r>
      <w:r>
        <w:rPr>
          <w:rFonts w:ascii="宋体" w:hAnsi="宋体"/>
          <w:i w:val="0"/>
          <w:sz w:val="28"/>
          <w:szCs w:val="28"/>
        </w:rPr>
        <w:fldChar w:fldCharType="separate"/>
      </w:r>
      <w:r>
        <w:rPr>
          <w:rFonts w:ascii="宋体" w:hAnsi="宋体"/>
          <w:i w:val="0"/>
          <w:sz w:val="28"/>
          <w:szCs w:val="28"/>
        </w:rPr>
        <w:t>23</w:t>
      </w:r>
      <w:r>
        <w:rPr>
          <w:rFonts w:ascii="宋体" w:hAnsi="宋体"/>
          <w:i w:val="0"/>
          <w:sz w:val="28"/>
          <w:szCs w:val="28"/>
        </w:rPr>
        <w:fldChar w:fldCharType="end"/>
      </w:r>
      <w:r>
        <w:rPr>
          <w:rFonts w:ascii="宋体" w:hAnsi="宋体"/>
          <w:i w:val="0"/>
          <w:sz w:val="28"/>
          <w:szCs w:val="28"/>
        </w:rPr>
        <w:fldChar w:fldCharType="end"/>
      </w:r>
    </w:p>
    <w:p>
      <w:pPr>
        <w:pStyle w:val="24"/>
        <w:tabs>
          <w:tab w:val="right" w:leader="dot" w:pos="9403"/>
        </w:tabs>
        <w:spacing w:line="360" w:lineRule="auto"/>
        <w:rPr>
          <w:rFonts w:ascii="宋体" w:hAnsi="宋体"/>
          <w:i w:val="0"/>
          <w:iCs w:val="0"/>
          <w:sz w:val="28"/>
          <w:szCs w:val="28"/>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"_Toc504073354"</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三．投标文件的编制</w:t>
      </w:r>
      <w:r>
        <w:rPr>
          <w:rFonts w:ascii="宋体" w:hAnsi="宋体"/>
          <w:i w:val="0"/>
          <w:sz w:val="28"/>
          <w:szCs w:val="28"/>
        </w:rPr>
        <w:tab/>
      </w:r>
      <w:r>
        <w:rPr>
          <w:rFonts w:ascii="宋体" w:hAnsi="宋体"/>
          <w:i w:val="0"/>
          <w:sz w:val="28"/>
          <w:szCs w:val="28"/>
        </w:rPr>
        <w:fldChar w:fldCharType="begin"/>
      </w:r>
      <w:r>
        <w:rPr>
          <w:rFonts w:ascii="宋体" w:hAnsi="宋体"/>
          <w:i w:val="0"/>
          <w:sz w:val="28"/>
          <w:szCs w:val="28"/>
        </w:rPr>
        <w:instrText xml:space="preserve"> PAGEREF _Toc504073354 \h </w:instrText>
      </w:r>
      <w:r>
        <w:rPr>
          <w:rFonts w:ascii="宋体" w:hAnsi="宋体"/>
          <w:i w:val="0"/>
          <w:sz w:val="28"/>
          <w:szCs w:val="28"/>
        </w:rPr>
        <w:fldChar w:fldCharType="separate"/>
      </w:r>
      <w:r>
        <w:rPr>
          <w:rFonts w:ascii="宋体" w:hAnsi="宋体"/>
          <w:i w:val="0"/>
          <w:sz w:val="28"/>
          <w:szCs w:val="28"/>
        </w:rPr>
        <w:t>25</w:t>
      </w:r>
      <w:r>
        <w:rPr>
          <w:rFonts w:ascii="宋体" w:hAnsi="宋体"/>
          <w:i w:val="0"/>
          <w:sz w:val="28"/>
          <w:szCs w:val="28"/>
        </w:rPr>
        <w:fldChar w:fldCharType="end"/>
      </w:r>
      <w:r>
        <w:rPr>
          <w:rFonts w:ascii="宋体" w:hAnsi="宋体"/>
          <w:i w:val="0"/>
          <w:sz w:val="28"/>
          <w:szCs w:val="28"/>
        </w:rPr>
        <w:fldChar w:fldCharType="end"/>
      </w:r>
    </w:p>
    <w:p>
      <w:pPr>
        <w:pStyle w:val="24"/>
        <w:tabs>
          <w:tab w:val="right" w:leader="dot" w:pos="9403"/>
        </w:tabs>
        <w:spacing w:line="360" w:lineRule="auto"/>
        <w:rPr>
          <w:rFonts w:ascii="宋体" w:hAnsi="宋体"/>
          <w:i w:val="0"/>
          <w:iCs w:val="0"/>
          <w:sz w:val="28"/>
          <w:szCs w:val="28"/>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"_Toc504073355"</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四．投标文件的递交</w:t>
      </w:r>
      <w:r>
        <w:rPr>
          <w:rFonts w:ascii="宋体" w:hAnsi="宋体"/>
          <w:i w:val="0"/>
          <w:sz w:val="28"/>
          <w:szCs w:val="28"/>
        </w:rPr>
        <w:tab/>
      </w:r>
      <w:r>
        <w:rPr>
          <w:rFonts w:ascii="宋体" w:hAnsi="宋体"/>
          <w:i w:val="0"/>
          <w:sz w:val="28"/>
          <w:szCs w:val="28"/>
        </w:rPr>
        <w:fldChar w:fldCharType="begin"/>
      </w:r>
      <w:r>
        <w:rPr>
          <w:rFonts w:ascii="宋体" w:hAnsi="宋体"/>
          <w:i w:val="0"/>
          <w:sz w:val="28"/>
          <w:szCs w:val="28"/>
        </w:rPr>
        <w:instrText xml:space="preserve"> PAGEREF _Toc504073355 \h </w:instrText>
      </w:r>
      <w:r>
        <w:rPr>
          <w:rFonts w:ascii="宋体" w:hAnsi="宋体"/>
          <w:i w:val="0"/>
          <w:sz w:val="28"/>
          <w:szCs w:val="28"/>
        </w:rPr>
        <w:fldChar w:fldCharType="separate"/>
      </w:r>
      <w:r>
        <w:rPr>
          <w:rFonts w:ascii="宋体" w:hAnsi="宋体"/>
          <w:i w:val="0"/>
          <w:sz w:val="28"/>
          <w:szCs w:val="28"/>
        </w:rPr>
        <w:t>2</w:t>
      </w:r>
      <w:r>
        <w:rPr>
          <w:rFonts w:hint="eastAsia" w:ascii="宋体" w:hAnsi="宋体"/>
          <w:i w:val="0"/>
          <w:sz w:val="28"/>
          <w:szCs w:val="28"/>
          <w:lang w:val="en-US" w:eastAsia="zh-CN"/>
        </w:rPr>
        <w:t>4</w:t>
      </w:r>
      <w:r>
        <w:rPr>
          <w:rFonts w:ascii="宋体" w:hAnsi="宋体"/>
          <w:i w:val="0"/>
          <w:sz w:val="28"/>
          <w:szCs w:val="28"/>
        </w:rPr>
        <w:fldChar w:fldCharType="end"/>
      </w:r>
      <w:r>
        <w:rPr>
          <w:rFonts w:ascii="宋体" w:hAnsi="宋体"/>
          <w:i w:val="0"/>
          <w:sz w:val="28"/>
          <w:szCs w:val="28"/>
        </w:rPr>
        <w:fldChar w:fldCharType="end"/>
      </w:r>
    </w:p>
    <w:p>
      <w:pPr>
        <w:pStyle w:val="24"/>
        <w:tabs>
          <w:tab w:val="right" w:leader="dot" w:pos="9403"/>
        </w:tabs>
        <w:spacing w:line="360" w:lineRule="auto"/>
        <w:rPr>
          <w:rFonts w:hint="eastAsia" w:ascii="宋体" w:hAnsi="宋体" w:eastAsia="宋体"/>
          <w:i w:val="0"/>
          <w:iCs w:val="0"/>
          <w:sz w:val="28"/>
          <w:szCs w:val="28"/>
          <w:lang w:val="en-US" w:eastAsia="zh-CN"/>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"_Toc504073356"</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五．开标与评标</w:t>
      </w:r>
      <w:r>
        <w:rPr>
          <w:rFonts w:ascii="宋体" w:hAnsi="宋体"/>
          <w:i w:val="0"/>
          <w:sz w:val="28"/>
          <w:szCs w:val="28"/>
        </w:rPr>
        <w:tab/>
      </w:r>
      <w:r>
        <w:rPr>
          <w:rFonts w:hint="eastAsia" w:ascii="宋体" w:hAnsi="宋体"/>
          <w:i w:val="0"/>
          <w:sz w:val="28"/>
          <w:szCs w:val="28"/>
          <w:lang w:val="en-US" w:eastAsia="zh-CN"/>
        </w:rPr>
        <w:t>2</w:t>
      </w:r>
      <w:r>
        <w:rPr>
          <w:rFonts w:ascii="宋体" w:hAnsi="宋体"/>
          <w:i w:val="0"/>
          <w:sz w:val="28"/>
          <w:szCs w:val="28"/>
        </w:rPr>
        <w:fldChar w:fldCharType="end"/>
      </w:r>
      <w:r>
        <w:rPr>
          <w:rFonts w:hint="eastAsia" w:ascii="宋体" w:hAnsi="宋体"/>
          <w:i w:val="0"/>
          <w:sz w:val="28"/>
          <w:szCs w:val="28"/>
          <w:lang w:val="en-US" w:eastAsia="zh-CN"/>
        </w:rPr>
        <w:t>4</w:t>
      </w:r>
    </w:p>
    <w:p>
      <w:pPr>
        <w:pStyle w:val="24"/>
        <w:tabs>
          <w:tab w:val="right" w:leader="dot" w:pos="9403"/>
        </w:tabs>
        <w:spacing w:line="360" w:lineRule="auto"/>
        <w:rPr>
          <w:rFonts w:hint="eastAsia" w:ascii="宋体" w:hAnsi="宋体" w:eastAsia="宋体"/>
          <w:i w:val="0"/>
          <w:iCs w:val="0"/>
          <w:sz w:val="28"/>
          <w:szCs w:val="28"/>
          <w:lang w:val="en-US" w:eastAsia="zh-CN"/>
        </w:rPr>
      </w:pPr>
      <w:r>
        <w:rPr>
          <w:rFonts w:ascii="宋体" w:hAnsi="宋体"/>
          <w:i w:val="0"/>
          <w:sz w:val="28"/>
          <w:szCs w:val="28"/>
        </w:rPr>
        <w:fldChar w:fldCharType="begin"/>
      </w:r>
      <w:r>
        <w:rPr>
          <w:rStyle w:val="56"/>
          <w:rFonts w:ascii="宋体" w:hAnsi="宋体"/>
          <w:i w:val="0"/>
          <w:color w:val="auto"/>
          <w:sz w:val="28"/>
          <w:szCs w:val="28"/>
        </w:rPr>
        <w:instrText xml:space="preserve"> </w:instrText>
      </w:r>
      <w:r>
        <w:rPr>
          <w:rFonts w:ascii="宋体" w:hAnsi="宋体"/>
          <w:i w:val="0"/>
          <w:sz w:val="28"/>
          <w:szCs w:val="28"/>
        </w:rPr>
        <w:instrText xml:space="preserve">HYPERLINK \l "_Toc504073357"</w:instrText>
      </w:r>
      <w:r>
        <w:rPr>
          <w:rStyle w:val="56"/>
          <w:rFonts w:ascii="宋体" w:hAnsi="宋体"/>
          <w:i w:val="0"/>
          <w:color w:val="auto"/>
          <w:sz w:val="28"/>
          <w:szCs w:val="28"/>
        </w:rPr>
        <w:instrText xml:space="preserve"> </w:instrText>
      </w:r>
      <w:r>
        <w:rPr>
          <w:rFonts w:ascii="宋体" w:hAnsi="宋体"/>
          <w:i w:val="0"/>
          <w:sz w:val="28"/>
          <w:szCs w:val="28"/>
        </w:rPr>
        <w:fldChar w:fldCharType="separate"/>
      </w:r>
      <w:r>
        <w:rPr>
          <w:rStyle w:val="56"/>
          <w:rFonts w:hint="eastAsia" w:ascii="宋体" w:hAnsi="宋体"/>
          <w:i w:val="0"/>
          <w:color w:val="auto"/>
          <w:sz w:val="28"/>
          <w:szCs w:val="28"/>
        </w:rPr>
        <w:t>六．定标</w:t>
      </w:r>
      <w:r>
        <w:rPr>
          <w:rFonts w:ascii="宋体" w:hAnsi="宋体"/>
          <w:i w:val="0"/>
          <w:sz w:val="28"/>
          <w:szCs w:val="28"/>
        </w:rPr>
        <w:tab/>
      </w:r>
      <w:r>
        <w:rPr>
          <w:rFonts w:hint="eastAsia" w:ascii="宋体" w:hAnsi="宋体"/>
          <w:i w:val="0"/>
          <w:sz w:val="28"/>
          <w:szCs w:val="28"/>
          <w:lang w:val="en-US" w:eastAsia="zh-CN"/>
        </w:rPr>
        <w:t>2</w:t>
      </w:r>
      <w:r>
        <w:rPr>
          <w:rFonts w:ascii="宋体" w:hAnsi="宋体"/>
          <w:i w:val="0"/>
          <w:sz w:val="28"/>
          <w:szCs w:val="28"/>
        </w:rPr>
        <w:fldChar w:fldCharType="end"/>
      </w:r>
      <w:r>
        <w:rPr>
          <w:rFonts w:hint="eastAsia" w:ascii="宋体" w:hAnsi="宋体"/>
          <w:i w:val="0"/>
          <w:sz w:val="28"/>
          <w:szCs w:val="28"/>
          <w:lang w:val="en-US" w:eastAsia="zh-CN"/>
        </w:rPr>
        <w:t>7</w:t>
      </w:r>
    </w:p>
    <w:p>
      <w:pPr>
        <w:pStyle w:val="41"/>
        <w:tabs>
          <w:tab w:val="right" w:leader="dot" w:pos="9403"/>
        </w:tabs>
        <w:spacing w:line="360" w:lineRule="auto"/>
        <w:rPr>
          <w:rStyle w:val="56"/>
          <w:rFonts w:ascii="宋体" w:hAnsi="宋体"/>
          <w:color w:val="auto"/>
          <w:szCs w:val="28"/>
        </w:rPr>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pPr>
      <w:r>
        <w:rPr>
          <w:rFonts w:hint="eastAsia" w:ascii="宋体" w:hAnsi="宋体"/>
          <w:szCs w:val="28"/>
        </w:rPr>
        <w:fldChar w:fldCharType="end"/>
      </w:r>
    </w:p>
    <w:p>
      <w:pPr>
        <w:pStyle w:val="4"/>
        <w:spacing w:line="500" w:lineRule="exact"/>
        <w:rPr>
          <w:rFonts w:hint="eastAsia"/>
        </w:rPr>
      </w:pPr>
      <w:bookmarkStart w:id="3" w:name="_Toc504073347"/>
      <w:bookmarkStart w:id="4" w:name="_Hlt510343011"/>
      <w:bookmarkStart w:id="5" w:name="_Hlt510342998"/>
      <w:r>
        <w:rPr>
          <w:rFonts w:hint="eastAsia" w:ascii="宋体" w:hAnsi="宋体" w:eastAsia="宋体"/>
        </w:rPr>
        <w:t>第一章 招标公告</w:t>
      </w:r>
      <w:bookmarkEnd w:id="3"/>
    </w:p>
    <w:p>
      <w:pPr>
        <w:pStyle w:val="81"/>
        <w:widowControl w:val="0"/>
        <w:autoSpaceDE w:val="0"/>
        <w:autoSpaceDN w:val="0"/>
        <w:adjustRightInd w:val="0"/>
        <w:spacing w:before="0" w:after="0" w:line="360" w:lineRule="auto"/>
        <w:rPr>
          <w:rFonts w:hint="eastAsia" w:ascii="宋体" w:hAnsi="宋体" w:eastAsia="宋体"/>
          <w:kern w:val="2"/>
          <w:szCs w:val="18"/>
        </w:rPr>
      </w:pPr>
      <w:r>
        <w:rPr>
          <w:rFonts w:hint="eastAsia" w:ascii="宋体" w:hAnsi="宋体" w:eastAsia="宋体"/>
          <w:kern w:val="2"/>
          <w:szCs w:val="18"/>
        </w:rPr>
        <w:t>现对“</w:t>
      </w:r>
      <w:r>
        <w:rPr>
          <w:rFonts w:hint="eastAsia" w:ascii="宋体" w:hAnsi="宋体" w:eastAsia="宋体" w:cs="宋体"/>
          <w:sz w:val="24"/>
          <w:szCs w:val="24"/>
        </w:rPr>
        <w:t>桐城玉雕文化产业园</w:t>
      </w:r>
      <w:r>
        <w:rPr>
          <w:rFonts w:hint="eastAsia" w:ascii="宋体" w:hAnsi="宋体" w:eastAsia="宋体" w:cs="宋体"/>
          <w:bCs/>
          <w:sz w:val="24"/>
          <w:szCs w:val="18"/>
        </w:rPr>
        <w:t>前期物业管理</w:t>
      </w:r>
      <w:r>
        <w:rPr>
          <w:rFonts w:hint="eastAsia" w:ascii="宋体" w:hAnsi="宋体" w:eastAsia="宋体"/>
          <w:kern w:val="2"/>
          <w:szCs w:val="18"/>
        </w:rPr>
        <w:t>”进行国内</w:t>
      </w:r>
      <w:r>
        <w:rPr>
          <w:rFonts w:hint="eastAsia" w:ascii="宋体" w:hAnsi="宋体" w:eastAsia="宋体"/>
          <w:color w:val="000000"/>
          <w:kern w:val="2"/>
          <w:szCs w:val="18"/>
        </w:rPr>
        <w:t>公开招标</w:t>
      </w:r>
      <w:r>
        <w:rPr>
          <w:rFonts w:hint="eastAsia" w:ascii="宋体" w:hAnsi="宋体" w:eastAsia="宋体"/>
          <w:kern w:val="2"/>
          <w:szCs w:val="18"/>
        </w:rPr>
        <w:t>，欢迎具备条件的国内投标人参加投标。</w:t>
      </w:r>
    </w:p>
    <w:p>
      <w:pPr>
        <w:autoSpaceDE w:val="0"/>
        <w:autoSpaceDN w:val="0"/>
        <w:adjustRightInd w:val="0"/>
        <w:spacing w:line="360" w:lineRule="auto"/>
        <w:ind w:firstLine="200"/>
        <w:jc w:val="left"/>
        <w:rPr>
          <w:rFonts w:hint="eastAsia" w:ascii="宋体" w:hAnsi="宋体"/>
          <w:b/>
          <w:bCs/>
          <w:sz w:val="24"/>
          <w:szCs w:val="18"/>
        </w:rPr>
      </w:pPr>
      <w:r>
        <w:rPr>
          <w:rFonts w:hint="eastAsia" w:ascii="宋体" w:hAnsi="宋体"/>
          <w:b/>
          <w:bCs/>
          <w:sz w:val="24"/>
          <w:szCs w:val="18"/>
        </w:rPr>
        <w:t>一、招标项目名称及内容</w:t>
      </w:r>
    </w:p>
    <w:p>
      <w:pPr>
        <w:autoSpaceDE w:val="0"/>
        <w:autoSpaceDN w:val="0"/>
        <w:adjustRightInd w:val="0"/>
        <w:spacing w:line="360" w:lineRule="auto"/>
        <w:ind w:firstLine="200"/>
        <w:jc w:val="left"/>
        <w:rPr>
          <w:rFonts w:hint="eastAsia" w:ascii="宋体" w:hAnsi="宋体"/>
          <w:sz w:val="32"/>
          <w:szCs w:val="32"/>
        </w:rPr>
      </w:pPr>
      <w:r>
        <w:rPr>
          <w:rFonts w:hint="eastAsia" w:ascii="宋体" w:hAnsi="宋体"/>
          <w:bCs/>
          <w:sz w:val="24"/>
          <w:szCs w:val="18"/>
        </w:rPr>
        <w:t>1、项目名称 ：</w:t>
      </w:r>
      <w:r>
        <w:rPr>
          <w:rFonts w:hint="eastAsia" w:ascii="宋体" w:hAnsi="宋体"/>
          <w:sz w:val="24"/>
          <w:szCs w:val="24"/>
        </w:rPr>
        <w:t>桐城玉雕文化产业园</w:t>
      </w:r>
      <w:r>
        <w:rPr>
          <w:rFonts w:hint="eastAsia" w:ascii="宋体" w:hAnsi="宋体"/>
          <w:bCs/>
          <w:sz w:val="24"/>
          <w:szCs w:val="18"/>
        </w:rPr>
        <w:t>前期物业管理</w:t>
      </w:r>
      <w:r>
        <w:rPr>
          <w:rFonts w:hint="eastAsia" w:ascii="宋体" w:hAnsi="宋体"/>
          <w:sz w:val="32"/>
          <w:szCs w:val="32"/>
        </w:rPr>
        <w:t xml:space="preserve"> </w:t>
      </w:r>
    </w:p>
    <w:p>
      <w:pPr>
        <w:spacing w:line="360" w:lineRule="auto"/>
        <w:ind w:firstLine="240" w:firstLineChars="100"/>
        <w:rPr>
          <w:rFonts w:hint="eastAsia" w:ascii="宋体" w:hAnsi="宋体"/>
          <w:bCs/>
          <w:sz w:val="24"/>
          <w:szCs w:val="24"/>
        </w:rPr>
      </w:pPr>
      <w:r>
        <w:rPr>
          <w:rFonts w:hint="eastAsia" w:ascii="宋体" w:hAnsi="宋体"/>
          <w:bCs/>
          <w:sz w:val="24"/>
          <w:szCs w:val="18"/>
        </w:rPr>
        <w:t>2、项目地点：桐城市经开区</w:t>
      </w:r>
      <w:r>
        <w:rPr>
          <w:rFonts w:hint="eastAsia" w:ascii="宋体" w:hAnsi="宋体"/>
          <w:bCs/>
          <w:sz w:val="24"/>
          <w:szCs w:val="18"/>
          <w:lang w:val="en-US" w:eastAsia="zh-CN"/>
        </w:rPr>
        <w:t>龙池路</w:t>
      </w:r>
      <w:r>
        <w:rPr>
          <w:rFonts w:hint="eastAsia" w:ascii="宋体" w:hAnsi="宋体"/>
          <w:bCs/>
          <w:sz w:val="24"/>
          <w:szCs w:val="18"/>
        </w:rPr>
        <w:t>与和平东路交叉口</w:t>
      </w:r>
      <w:r>
        <w:rPr>
          <w:rFonts w:hint="eastAsia" w:ascii="宋体" w:hAnsi="宋体"/>
          <w:bCs/>
          <w:sz w:val="24"/>
          <w:szCs w:val="24"/>
        </w:rPr>
        <w:t xml:space="preserve"> </w:t>
      </w:r>
    </w:p>
    <w:p>
      <w:pPr>
        <w:spacing w:line="360" w:lineRule="auto"/>
        <w:ind w:firstLine="240" w:firstLineChars="100"/>
        <w:rPr>
          <w:rFonts w:hint="eastAsia" w:ascii="宋体" w:hAnsi="宋体"/>
          <w:bCs/>
          <w:sz w:val="24"/>
          <w:szCs w:val="18"/>
        </w:rPr>
      </w:pPr>
      <w:r>
        <w:rPr>
          <w:rFonts w:hint="eastAsia" w:ascii="宋体" w:hAnsi="宋体"/>
          <w:bCs/>
          <w:sz w:val="24"/>
          <w:szCs w:val="18"/>
        </w:rPr>
        <w:t>3、项目单位：</w:t>
      </w:r>
      <w:r>
        <w:rPr>
          <w:rFonts w:hint="eastAsia" w:ascii="宋体" w:hAnsi="宋体"/>
          <w:bCs/>
          <w:sz w:val="24"/>
          <w:szCs w:val="18"/>
          <w:lang w:eastAsia="zh-CN"/>
        </w:rPr>
        <w:t>安徽国翠玉艺股份有限公司</w:t>
      </w:r>
      <w:r>
        <w:rPr>
          <w:rFonts w:hint="eastAsia" w:ascii="宋体" w:hAnsi="宋体"/>
          <w:bCs/>
          <w:sz w:val="24"/>
          <w:szCs w:val="18"/>
        </w:rPr>
        <w:t xml:space="preserve"> </w:t>
      </w:r>
    </w:p>
    <w:p>
      <w:pPr>
        <w:autoSpaceDE w:val="0"/>
        <w:autoSpaceDN w:val="0"/>
        <w:adjustRightInd w:val="0"/>
        <w:spacing w:line="360" w:lineRule="auto"/>
        <w:ind w:firstLine="240" w:firstLineChars="100"/>
        <w:rPr>
          <w:rFonts w:hint="eastAsia" w:ascii="宋体" w:hAnsi="宋体"/>
          <w:sz w:val="24"/>
          <w:szCs w:val="28"/>
        </w:rPr>
      </w:pPr>
      <w:r>
        <w:rPr>
          <w:rFonts w:hint="eastAsia" w:ascii="宋体" w:hAnsi="宋体"/>
          <w:bCs/>
          <w:sz w:val="24"/>
          <w:szCs w:val="18"/>
        </w:rPr>
        <w:t>4、项目概况：“</w:t>
      </w:r>
      <w:r>
        <w:rPr>
          <w:rFonts w:hint="eastAsia" w:ascii="宋体" w:hAnsi="宋体"/>
          <w:sz w:val="24"/>
          <w:szCs w:val="24"/>
        </w:rPr>
        <w:t>桐城玉雕文化产业园</w:t>
      </w:r>
      <w:r>
        <w:rPr>
          <w:rFonts w:hint="eastAsia" w:ascii="宋体" w:hAnsi="宋体"/>
          <w:bCs/>
          <w:sz w:val="24"/>
          <w:szCs w:val="18"/>
        </w:rPr>
        <w:t>”</w:t>
      </w:r>
      <w:r>
        <w:rPr>
          <w:rFonts w:hint="eastAsia" w:ascii="宋体" w:hAnsi="宋体"/>
          <w:bCs/>
          <w:sz w:val="24"/>
          <w:szCs w:val="24"/>
        </w:rPr>
        <w:t>位于</w:t>
      </w:r>
      <w:r>
        <w:rPr>
          <w:rFonts w:hint="eastAsia" w:ascii="宋体" w:hAnsi="宋体"/>
          <w:bCs/>
          <w:sz w:val="24"/>
          <w:szCs w:val="18"/>
        </w:rPr>
        <w:t>桐城市经开区</w:t>
      </w:r>
      <w:r>
        <w:rPr>
          <w:rFonts w:hint="eastAsia" w:ascii="宋体" w:hAnsi="宋体"/>
          <w:bCs/>
          <w:sz w:val="24"/>
          <w:szCs w:val="18"/>
          <w:lang w:val="en-US" w:eastAsia="zh-CN"/>
        </w:rPr>
        <w:t>龙池路</w:t>
      </w:r>
      <w:r>
        <w:rPr>
          <w:rFonts w:hint="eastAsia" w:ascii="宋体" w:hAnsi="宋体"/>
          <w:bCs/>
          <w:sz w:val="24"/>
          <w:szCs w:val="18"/>
        </w:rPr>
        <w:t>与和平东路交叉口。本项目规划设计的物业类型为：住宅物业；</w:t>
      </w:r>
      <w:r>
        <w:rPr>
          <w:rFonts w:hint="eastAsia" w:ascii="宋体" w:hAnsi="宋体"/>
          <w:bCs/>
          <w:sz w:val="24"/>
          <w:szCs w:val="18"/>
          <w:lang w:val="en-US" w:eastAsia="zh-CN"/>
        </w:rPr>
        <w:t>一期</w:t>
      </w:r>
      <w:r>
        <w:rPr>
          <w:rFonts w:hint="eastAsia" w:ascii="宋体" w:hAnsi="宋体"/>
          <w:bCs/>
          <w:sz w:val="24"/>
          <w:szCs w:val="18"/>
        </w:rPr>
        <w:t>规划用地面积为</w:t>
      </w:r>
      <w:r>
        <w:rPr>
          <w:rFonts w:hint="eastAsia" w:ascii="宋体" w:hAnsi="宋体"/>
          <w:sz w:val="24"/>
          <w:szCs w:val="24"/>
          <w:lang w:val="en-US" w:eastAsia="zh-CN"/>
        </w:rPr>
        <w:t>46663.00</w:t>
      </w:r>
      <w:r>
        <w:rPr>
          <w:rFonts w:hint="eastAsia" w:ascii="宋体" w:hAnsi="宋体"/>
          <w:sz w:val="24"/>
          <w:szCs w:val="24"/>
        </w:rPr>
        <w:t>㎡</w:t>
      </w:r>
      <w:r>
        <w:rPr>
          <w:rFonts w:hint="eastAsia" w:ascii="宋体" w:hAnsi="宋体"/>
          <w:bCs/>
          <w:sz w:val="24"/>
          <w:szCs w:val="18"/>
        </w:rPr>
        <w:t>，总建筑面积为</w:t>
      </w:r>
      <w:r>
        <w:rPr>
          <w:rFonts w:hint="eastAsia" w:ascii="宋体" w:hAnsi="宋体"/>
          <w:bCs/>
          <w:sz w:val="24"/>
          <w:szCs w:val="18"/>
          <w:lang w:val="en-US" w:eastAsia="zh-CN"/>
        </w:rPr>
        <w:t>66361</w:t>
      </w:r>
      <w:r>
        <w:rPr>
          <w:rFonts w:hint="eastAsia" w:ascii="宋体" w:hAnsi="宋体"/>
          <w:bCs/>
          <w:sz w:val="24"/>
          <w:szCs w:val="18"/>
        </w:rPr>
        <w:t>.</w:t>
      </w:r>
      <w:r>
        <w:rPr>
          <w:rFonts w:hint="eastAsia" w:ascii="宋体" w:hAnsi="宋体"/>
          <w:bCs/>
          <w:sz w:val="24"/>
          <w:szCs w:val="18"/>
          <w:lang w:val="en-US" w:eastAsia="zh-CN"/>
        </w:rPr>
        <w:t>06</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rPr>
        <w:t>容积率为1.</w:t>
      </w:r>
      <w:r>
        <w:rPr>
          <w:rFonts w:hint="eastAsia" w:ascii="宋体" w:hAnsi="宋体"/>
          <w:bCs/>
          <w:sz w:val="24"/>
          <w:szCs w:val="18"/>
          <w:lang w:val="en-US" w:eastAsia="zh-CN"/>
        </w:rPr>
        <w:t>5</w:t>
      </w:r>
      <w:r>
        <w:rPr>
          <w:rFonts w:hint="eastAsia" w:ascii="宋体" w:hAnsi="宋体"/>
          <w:bCs/>
          <w:sz w:val="24"/>
          <w:szCs w:val="18"/>
        </w:rPr>
        <w:t>， 绿化率</w:t>
      </w:r>
      <w:r>
        <w:rPr>
          <w:rFonts w:hint="eastAsia" w:ascii="宋体" w:hAnsi="宋体"/>
          <w:bCs/>
          <w:sz w:val="24"/>
          <w:szCs w:val="18"/>
          <w:lang w:val="en-US" w:eastAsia="zh-CN"/>
        </w:rPr>
        <w:t>2</w:t>
      </w:r>
      <w:r>
        <w:rPr>
          <w:rFonts w:hint="eastAsia" w:ascii="宋体" w:hAnsi="宋体"/>
          <w:bCs/>
          <w:sz w:val="24"/>
          <w:szCs w:val="18"/>
        </w:rPr>
        <w:t>0.0</w:t>
      </w:r>
      <w:r>
        <w:rPr>
          <w:rFonts w:hint="eastAsia" w:ascii="宋体" w:hAnsi="宋体"/>
          <w:bCs/>
          <w:sz w:val="24"/>
          <w:szCs w:val="18"/>
          <w:lang w:val="en-US" w:eastAsia="zh-CN"/>
        </w:rPr>
        <w:t>0</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lang w:val="en-US" w:eastAsia="zh-CN"/>
        </w:rPr>
        <w:t>二期</w:t>
      </w:r>
      <w:r>
        <w:rPr>
          <w:rFonts w:hint="eastAsia" w:ascii="宋体" w:hAnsi="宋体"/>
          <w:bCs/>
          <w:sz w:val="24"/>
          <w:szCs w:val="18"/>
        </w:rPr>
        <w:t>规划用地面积为</w:t>
      </w:r>
      <w:r>
        <w:rPr>
          <w:rFonts w:hint="eastAsia" w:ascii="宋体" w:hAnsi="宋体"/>
          <w:sz w:val="24"/>
          <w:szCs w:val="24"/>
          <w:lang w:val="en-US" w:eastAsia="zh-CN"/>
        </w:rPr>
        <w:t>49495.80</w:t>
      </w:r>
      <w:r>
        <w:rPr>
          <w:rFonts w:hint="eastAsia" w:ascii="宋体" w:hAnsi="宋体"/>
          <w:sz w:val="24"/>
          <w:szCs w:val="24"/>
        </w:rPr>
        <w:t>㎡</w:t>
      </w:r>
      <w:r>
        <w:rPr>
          <w:rFonts w:hint="eastAsia" w:ascii="宋体" w:hAnsi="宋体"/>
          <w:bCs/>
          <w:sz w:val="24"/>
          <w:szCs w:val="18"/>
        </w:rPr>
        <w:t>，总建筑面积为</w:t>
      </w:r>
      <w:r>
        <w:rPr>
          <w:rFonts w:hint="eastAsia" w:ascii="宋体" w:hAnsi="宋体"/>
          <w:bCs/>
          <w:sz w:val="24"/>
          <w:szCs w:val="18"/>
          <w:lang w:val="en-US" w:eastAsia="zh-CN"/>
        </w:rPr>
        <w:t>79715</w:t>
      </w:r>
      <w:r>
        <w:rPr>
          <w:rFonts w:hint="eastAsia" w:ascii="宋体" w:hAnsi="宋体"/>
          <w:bCs/>
          <w:sz w:val="24"/>
          <w:szCs w:val="18"/>
        </w:rPr>
        <w:t>.</w:t>
      </w:r>
      <w:r>
        <w:rPr>
          <w:rFonts w:hint="eastAsia" w:ascii="宋体" w:hAnsi="宋体"/>
          <w:bCs/>
          <w:sz w:val="24"/>
          <w:szCs w:val="18"/>
          <w:lang w:val="en-US" w:eastAsia="zh-CN"/>
        </w:rPr>
        <w:t>23</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rPr>
        <w:t>容积率为1.</w:t>
      </w:r>
      <w:r>
        <w:rPr>
          <w:rFonts w:hint="eastAsia" w:ascii="宋体" w:hAnsi="宋体"/>
          <w:bCs/>
          <w:sz w:val="24"/>
          <w:szCs w:val="18"/>
          <w:lang w:val="en-US" w:eastAsia="zh-CN"/>
        </w:rPr>
        <w:t>65</w:t>
      </w:r>
      <w:r>
        <w:rPr>
          <w:rFonts w:hint="eastAsia" w:ascii="宋体" w:hAnsi="宋体"/>
          <w:bCs/>
          <w:sz w:val="24"/>
          <w:szCs w:val="18"/>
        </w:rPr>
        <w:t>， 绿化率</w:t>
      </w:r>
      <w:r>
        <w:rPr>
          <w:rFonts w:hint="eastAsia" w:ascii="宋体" w:hAnsi="宋体"/>
          <w:bCs/>
          <w:sz w:val="24"/>
          <w:szCs w:val="18"/>
          <w:lang w:val="en-US" w:eastAsia="zh-CN"/>
        </w:rPr>
        <w:t>2</w:t>
      </w:r>
      <w:r>
        <w:rPr>
          <w:rFonts w:hint="eastAsia" w:ascii="宋体" w:hAnsi="宋体"/>
          <w:bCs/>
          <w:sz w:val="24"/>
          <w:szCs w:val="18"/>
        </w:rPr>
        <w:t>0.0</w:t>
      </w:r>
      <w:r>
        <w:rPr>
          <w:rFonts w:hint="eastAsia" w:ascii="宋体" w:hAnsi="宋体"/>
          <w:bCs/>
          <w:sz w:val="24"/>
          <w:szCs w:val="18"/>
          <w:lang w:val="en-US" w:eastAsia="zh-CN"/>
        </w:rPr>
        <w:t>0</w:t>
      </w:r>
      <w:r>
        <w:rPr>
          <w:rFonts w:hint="eastAsia" w:ascii="宋体" w:hAnsi="宋体"/>
          <w:bCs/>
          <w:sz w:val="24"/>
          <w:szCs w:val="18"/>
        </w:rPr>
        <w:t xml:space="preserve">% </w:t>
      </w:r>
      <w:r>
        <w:rPr>
          <w:rFonts w:hint="eastAsia" w:ascii="宋体" w:hAnsi="宋体"/>
          <w:bCs/>
          <w:sz w:val="24"/>
          <w:szCs w:val="18"/>
          <w:lang w:eastAsia="zh-CN"/>
        </w:rPr>
        <w:t>；</w:t>
      </w:r>
      <w:r>
        <w:rPr>
          <w:rFonts w:hint="eastAsia" w:ascii="宋体" w:hAnsi="宋体"/>
          <w:bCs/>
          <w:sz w:val="24"/>
          <w:szCs w:val="18"/>
        </w:rPr>
        <w:t>物管用房4</w:t>
      </w:r>
      <w:r>
        <w:rPr>
          <w:rFonts w:hint="eastAsia" w:ascii="宋体" w:hAnsi="宋体"/>
          <w:bCs/>
          <w:sz w:val="24"/>
          <w:szCs w:val="18"/>
          <w:lang w:val="en-US" w:eastAsia="zh-CN"/>
        </w:rPr>
        <w:t>68</w:t>
      </w:r>
      <w:r>
        <w:rPr>
          <w:rFonts w:hint="eastAsia" w:ascii="宋体" w:hAnsi="宋体"/>
          <w:bCs/>
          <w:sz w:val="24"/>
          <w:szCs w:val="18"/>
        </w:rPr>
        <w:t>.</w:t>
      </w:r>
      <w:r>
        <w:rPr>
          <w:rFonts w:hint="eastAsia" w:ascii="宋体" w:hAnsi="宋体"/>
          <w:bCs/>
          <w:sz w:val="24"/>
          <w:szCs w:val="18"/>
          <w:lang w:val="en-US" w:eastAsia="zh-CN"/>
        </w:rPr>
        <w:t>74</w:t>
      </w:r>
      <w:r>
        <w:rPr>
          <w:rFonts w:hint="eastAsia" w:ascii="宋体" w:hAnsi="宋体"/>
          <w:bCs/>
          <w:sz w:val="24"/>
          <w:szCs w:val="18"/>
        </w:rPr>
        <w:t xml:space="preserve">㎡ </w:t>
      </w:r>
      <w:r>
        <w:rPr>
          <w:rFonts w:hint="eastAsia" w:ascii="宋体" w:hAnsi="宋体"/>
          <w:bCs/>
          <w:sz w:val="24"/>
          <w:szCs w:val="18"/>
          <w:lang w:eastAsia="zh-CN"/>
        </w:rPr>
        <w:t>；</w:t>
      </w:r>
      <w:r>
        <w:rPr>
          <w:rFonts w:hint="eastAsia" w:ascii="宋体" w:hAnsi="宋体"/>
          <w:bCs/>
          <w:sz w:val="24"/>
          <w:szCs w:val="18"/>
        </w:rPr>
        <w:t>机动车位</w:t>
      </w:r>
      <w:r>
        <w:rPr>
          <w:rFonts w:hint="eastAsia" w:ascii="宋体" w:hAnsi="宋体"/>
          <w:bCs/>
          <w:sz w:val="24"/>
          <w:szCs w:val="18"/>
          <w:lang w:val="en-US" w:eastAsia="zh-CN"/>
        </w:rPr>
        <w:t>209</w:t>
      </w:r>
      <w:r>
        <w:rPr>
          <w:rFonts w:hint="eastAsia" w:ascii="宋体" w:hAnsi="宋体"/>
          <w:bCs/>
          <w:sz w:val="24"/>
          <w:szCs w:val="18"/>
        </w:rPr>
        <w:t>个，建筑密度为</w:t>
      </w:r>
      <w:r>
        <w:rPr>
          <w:rFonts w:hint="eastAsia" w:ascii="宋体" w:hAnsi="宋体"/>
          <w:bCs/>
          <w:sz w:val="24"/>
          <w:szCs w:val="18"/>
          <w:lang w:val="en-US" w:eastAsia="zh-CN"/>
        </w:rPr>
        <w:t>39</w:t>
      </w:r>
      <w:r>
        <w:rPr>
          <w:rFonts w:hint="eastAsia" w:ascii="宋体" w:hAnsi="宋体"/>
          <w:bCs/>
          <w:sz w:val="24"/>
          <w:szCs w:val="18"/>
        </w:rPr>
        <w:t>.</w:t>
      </w:r>
      <w:r>
        <w:rPr>
          <w:rFonts w:hint="eastAsia" w:ascii="宋体" w:hAnsi="宋体"/>
          <w:bCs/>
          <w:sz w:val="24"/>
          <w:szCs w:val="18"/>
          <w:lang w:val="en-US" w:eastAsia="zh-CN"/>
        </w:rPr>
        <w:t>55</w:t>
      </w:r>
      <w:r>
        <w:rPr>
          <w:rFonts w:hint="eastAsia" w:ascii="宋体" w:hAnsi="宋体"/>
          <w:bCs/>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00"/>
        <w:jc w:val="left"/>
        <w:textAlignment w:val="auto"/>
        <w:rPr>
          <w:rFonts w:hint="eastAsia" w:ascii="宋体" w:hAnsi="宋体"/>
          <w:bCs/>
          <w:sz w:val="24"/>
          <w:szCs w:val="18"/>
        </w:rPr>
      </w:pPr>
      <w:r>
        <w:rPr>
          <w:rFonts w:hint="eastAsia" w:ascii="宋体" w:hAnsi="宋体"/>
          <w:bCs/>
          <w:sz w:val="24"/>
          <w:szCs w:val="18"/>
        </w:rPr>
        <w:t>6、项目类别：服务类</w:t>
      </w:r>
    </w:p>
    <w:p>
      <w:pPr>
        <w:pStyle w:val="2"/>
        <w:keepNext w:val="0"/>
        <w:keepLines w:val="0"/>
        <w:pageBreakBefore w:val="0"/>
        <w:widowControl w:val="0"/>
        <w:kinsoku/>
        <w:wordWrap/>
        <w:overflowPunct/>
        <w:topLinePunct w:val="0"/>
        <w:bidi w:val="0"/>
        <w:snapToGrid/>
        <w:spacing w:line="360" w:lineRule="auto"/>
        <w:ind w:left="0" w:leftChars="0" w:firstLine="240" w:firstLineChars="100"/>
        <w:textAlignment w:val="auto"/>
        <w:rPr>
          <w:rFonts w:hint="eastAsia" w:ascii="宋体" w:hAnsi="宋体"/>
          <w:bCs/>
          <w:sz w:val="24"/>
          <w:szCs w:val="18"/>
          <w:lang w:val="en-US" w:eastAsia="zh-CN"/>
        </w:rPr>
      </w:pPr>
      <w:r>
        <w:rPr>
          <w:rFonts w:hint="eastAsia" w:ascii="宋体" w:hAnsi="宋体"/>
          <w:bCs/>
          <w:sz w:val="24"/>
          <w:szCs w:val="18"/>
          <w:lang w:val="en-US" w:eastAsia="zh-CN"/>
        </w:rPr>
        <w:t>7、服务内容：物业服务</w:t>
      </w:r>
    </w:p>
    <w:p>
      <w:pPr>
        <w:pStyle w:val="2"/>
        <w:keepNext w:val="0"/>
        <w:keepLines w:val="0"/>
        <w:pageBreakBefore w:val="0"/>
        <w:widowControl w:val="0"/>
        <w:kinsoku/>
        <w:wordWrap/>
        <w:overflowPunct/>
        <w:topLinePunct w:val="0"/>
        <w:bidi w:val="0"/>
        <w:snapToGrid/>
        <w:spacing w:line="360" w:lineRule="auto"/>
        <w:ind w:left="0" w:leftChars="0" w:firstLine="240" w:firstLineChars="100"/>
        <w:textAlignment w:val="auto"/>
        <w:rPr>
          <w:rFonts w:hint="eastAsia" w:ascii="宋体" w:hAnsi="宋体"/>
          <w:sz w:val="24"/>
        </w:rPr>
      </w:pPr>
      <w:r>
        <w:rPr>
          <w:rFonts w:hint="eastAsia" w:ascii="宋体" w:hAnsi="宋体"/>
          <w:bCs/>
          <w:sz w:val="24"/>
          <w:szCs w:val="18"/>
          <w:lang w:val="en-US" w:eastAsia="zh-CN"/>
        </w:rPr>
        <w:t>8、服务周</w:t>
      </w:r>
      <w:r>
        <w:rPr>
          <w:rFonts w:hint="eastAsia" w:ascii="宋体" w:hAnsi="宋体"/>
          <w:bCs/>
          <w:color w:val="000000"/>
          <w:sz w:val="24"/>
          <w:szCs w:val="18"/>
          <w:lang w:val="en-US" w:eastAsia="zh-CN"/>
        </w:rPr>
        <w:t>期：</w:t>
      </w:r>
      <w:r>
        <w:rPr>
          <w:rFonts w:hint="eastAsia" w:ascii="宋体" w:hAnsi="宋体"/>
          <w:color w:val="000000"/>
          <w:sz w:val="24"/>
          <w:highlight w:val="none"/>
        </w:rPr>
        <w:t>合同后</w:t>
      </w:r>
      <w:r>
        <w:rPr>
          <w:rFonts w:hint="eastAsia" w:ascii="宋体" w:hAnsi="宋体"/>
          <w:color w:val="000000"/>
          <w:sz w:val="24"/>
          <w:highlight w:val="none"/>
          <w:lang w:eastAsia="zh-CN"/>
        </w:rPr>
        <w:t>五</w:t>
      </w:r>
      <w:r>
        <w:rPr>
          <w:rFonts w:hint="eastAsia" w:ascii="宋体" w:hAnsi="宋体"/>
          <w:color w:val="000000"/>
          <w:sz w:val="24"/>
          <w:highlight w:val="none"/>
        </w:rPr>
        <w:t>年</w:t>
      </w:r>
      <w:r>
        <w:rPr>
          <w:rFonts w:hint="eastAsia" w:ascii="宋体" w:hAnsi="宋体"/>
          <w:color w:val="C00000"/>
          <w:sz w:val="24"/>
          <w:highlight w:val="none"/>
        </w:rPr>
        <w:t>，</w:t>
      </w:r>
      <w:r>
        <w:rPr>
          <w:rFonts w:hint="eastAsia" w:ascii="宋体" w:hAnsi="宋体"/>
          <w:sz w:val="24"/>
          <w:szCs w:val="28"/>
          <w:highlight w:val="none"/>
        </w:rPr>
        <w:t>若</w:t>
      </w:r>
      <w:r>
        <w:rPr>
          <w:rFonts w:hint="eastAsia" w:ascii="宋体" w:hAnsi="宋体"/>
          <w:sz w:val="24"/>
          <w:szCs w:val="28"/>
        </w:rPr>
        <w:t>合同期满甲乙双方无异议，则合同顺延</w:t>
      </w:r>
      <w:r>
        <w:rPr>
          <w:rFonts w:hint="eastAsia" w:ascii="宋体" w:hAnsi="宋体"/>
          <w:sz w:val="24"/>
          <w:szCs w:val="28"/>
          <w:lang w:eastAsia="zh-CN"/>
        </w:rPr>
        <w:t>；</w:t>
      </w:r>
      <w:r>
        <w:rPr>
          <w:rFonts w:hint="eastAsia" w:ascii="宋体" w:hAnsi="宋体"/>
          <w:sz w:val="24"/>
        </w:rPr>
        <w:t>期间业主委员会成立后并选定新物业公司，本合同终止</w:t>
      </w:r>
    </w:p>
    <w:p>
      <w:pPr>
        <w:pStyle w:val="2"/>
        <w:keepNext w:val="0"/>
        <w:keepLines w:val="0"/>
        <w:pageBreakBefore w:val="0"/>
        <w:widowControl w:val="0"/>
        <w:kinsoku/>
        <w:wordWrap/>
        <w:overflowPunct/>
        <w:topLinePunct w:val="0"/>
        <w:bidi w:val="0"/>
        <w:snapToGrid/>
        <w:spacing w:line="360" w:lineRule="auto"/>
        <w:ind w:left="0" w:leftChars="0" w:firstLine="240" w:firstLineChars="100"/>
        <w:textAlignment w:val="auto"/>
        <w:rPr>
          <w:rFonts w:hint="default" w:ascii="宋体" w:hAnsi="宋体" w:eastAsia="宋体"/>
          <w:sz w:val="24"/>
          <w:lang w:val="en-US" w:eastAsia="zh-CN"/>
        </w:rPr>
      </w:pPr>
      <w:r>
        <w:rPr>
          <w:rFonts w:hint="eastAsia" w:ascii="宋体" w:hAnsi="宋体"/>
          <w:sz w:val="24"/>
          <w:lang w:val="en-US" w:eastAsia="zh-CN"/>
        </w:rPr>
        <w:t>9、服务等级：A级</w:t>
      </w:r>
    </w:p>
    <w:p>
      <w:pPr>
        <w:keepNext w:val="0"/>
        <w:keepLines w:val="0"/>
        <w:pageBreakBefore w:val="0"/>
        <w:widowControl w:val="0"/>
        <w:kinsoku/>
        <w:wordWrap/>
        <w:overflowPunct/>
        <w:topLinePunct w:val="0"/>
        <w:autoSpaceDE w:val="0"/>
        <w:autoSpaceDN w:val="0"/>
        <w:bidi w:val="0"/>
        <w:adjustRightInd w:val="0"/>
        <w:snapToGrid/>
        <w:spacing w:line="360" w:lineRule="auto"/>
        <w:ind w:firstLine="200"/>
        <w:jc w:val="left"/>
        <w:textAlignment w:val="auto"/>
        <w:rPr>
          <w:rFonts w:hint="eastAsia" w:ascii="宋体" w:hAnsi="宋体"/>
          <w:bCs/>
          <w:sz w:val="24"/>
          <w:szCs w:val="18"/>
        </w:rPr>
      </w:pPr>
      <w:r>
        <w:rPr>
          <w:rFonts w:hint="eastAsia" w:ascii="宋体" w:hAnsi="宋体"/>
          <w:bCs/>
          <w:sz w:val="24"/>
          <w:szCs w:val="18"/>
          <w:lang w:val="en-US" w:eastAsia="zh-CN"/>
        </w:rPr>
        <w:t>10、</w:t>
      </w:r>
      <w:r>
        <w:rPr>
          <w:rFonts w:hint="eastAsia" w:ascii="宋体" w:hAnsi="宋体"/>
          <w:bCs/>
          <w:sz w:val="24"/>
          <w:szCs w:val="18"/>
        </w:rPr>
        <w:t>标段划分：本项目共一个标段</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二、投标人资格</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1.具有独立承担民事责任的能力；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2.本项目不接受联合体投标；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3.符合下列情形之一：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1)开标日前两年内未被物业企业注册地和安庆市及其所辖县（市）及区（开发区）公共资源交易监督管理部门记不良行为记录或记不良行为记录累计未满10分的。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2)最近一次被物业企业注册地和安庆市及其所辖县（市）及区（开发区）公共资源交易监督管理部门记不良行为记录累计记分达10分(含10分)到15分且公布日距开标日超过6个月。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3)最近一次被物业企业注册地和安庆市及其所辖县（市及区（开发区公共资源交易监督管理部门记不良行为记录累计记分达15分(含15分)到20分且公布日距开标日超过12个月</w:t>
      </w:r>
      <w:r>
        <w:rPr>
          <w:rFonts w:hint="eastAsia" w:ascii="宋体" w:hAnsi="宋体"/>
          <w:bCs/>
          <w:sz w:val="24"/>
          <w:szCs w:val="18"/>
          <w:lang w:val="en-US" w:eastAsia="zh-CN"/>
        </w:rPr>
        <w:t>.</w:t>
      </w:r>
      <w:r>
        <w:rPr>
          <w:rFonts w:hint="eastAsia" w:ascii="宋体" w:hAnsi="宋体"/>
          <w:bCs/>
          <w:sz w:val="24"/>
          <w:szCs w:val="18"/>
        </w:rPr>
        <w:t xml:space="preserve">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4)最近一次被物业企业注册地和安庆市及其所辖县（市）及区（开发区）公共资源交易监督管理部门记不良行为记录累计记分达20分(含20分)及以上且公布日距开标日超过24个月。</w:t>
      </w:r>
    </w:p>
    <w:p>
      <w:pPr>
        <w:autoSpaceDE w:val="0"/>
        <w:autoSpaceDN w:val="0"/>
        <w:adjustRightInd w:val="0"/>
        <w:spacing w:line="360" w:lineRule="auto"/>
        <w:jc w:val="left"/>
        <w:rPr>
          <w:rFonts w:hint="eastAsia" w:ascii="宋体" w:hAnsi="宋体"/>
          <w:bCs/>
          <w:sz w:val="24"/>
          <w:szCs w:val="18"/>
        </w:rPr>
      </w:pPr>
      <w:r>
        <w:rPr>
          <w:rFonts w:hint="eastAsia" w:ascii="宋体" w:hAnsi="宋体"/>
          <w:bCs/>
          <w:sz w:val="24"/>
          <w:szCs w:val="18"/>
        </w:rPr>
        <w:t xml:space="preserve">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4.投标人不得存在以下不良信用记录：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1）投标人被人民法院列入失信被执行人的；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2）投标人或其法定代表人被人民检察院列入行贿犯罪档案的；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 xml:space="preserve">3）投标人被工商行政管理部门列入企业经营异常名录的； </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4）投标人被税务部门列入重大税收违法案件当事人名单的。</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三、报名及招标文件发售方法</w:t>
      </w:r>
    </w:p>
    <w:p>
      <w:pPr>
        <w:autoSpaceDE w:val="0"/>
        <w:autoSpaceDN w:val="0"/>
        <w:adjustRightInd w:val="0"/>
        <w:spacing w:line="360" w:lineRule="auto"/>
        <w:ind w:firstLine="200"/>
        <w:jc w:val="left"/>
        <w:rPr>
          <w:rFonts w:hint="default" w:ascii="宋体" w:hAnsi="宋体" w:eastAsia="宋体"/>
          <w:bCs/>
          <w:color w:val="000000"/>
          <w:sz w:val="24"/>
          <w:szCs w:val="18"/>
          <w:highlight w:val="none"/>
          <w:lang w:val="en-US" w:eastAsia="zh-CN"/>
        </w:rPr>
      </w:pPr>
      <w:r>
        <w:rPr>
          <w:rFonts w:hint="eastAsia" w:ascii="宋体" w:hAnsi="宋体"/>
          <w:bCs/>
          <w:color w:val="000000"/>
          <w:sz w:val="24"/>
          <w:szCs w:val="18"/>
          <w:highlight w:val="none"/>
        </w:rPr>
        <w:t>1、报名时间：</w:t>
      </w:r>
      <w:r>
        <w:rPr>
          <w:rFonts w:hint="eastAsia" w:ascii="宋体" w:hAnsi="宋体"/>
          <w:bCs/>
          <w:color w:val="000000"/>
          <w:sz w:val="24"/>
          <w:szCs w:val="18"/>
          <w:highlight w:val="none"/>
          <w:lang w:val="en-US" w:eastAsia="zh-CN"/>
        </w:rPr>
        <w:t>2022</w:t>
      </w:r>
      <w:r>
        <w:rPr>
          <w:rFonts w:hint="eastAsia" w:ascii="宋体" w:hAnsi="宋体"/>
          <w:bCs/>
          <w:color w:val="000000"/>
          <w:sz w:val="24"/>
          <w:szCs w:val="18"/>
          <w:highlight w:val="none"/>
        </w:rPr>
        <w:t>年</w:t>
      </w:r>
      <w:r>
        <w:rPr>
          <w:rFonts w:hint="eastAsia" w:ascii="宋体" w:hAnsi="宋体"/>
          <w:bCs/>
          <w:color w:val="000000"/>
          <w:sz w:val="24"/>
          <w:szCs w:val="18"/>
          <w:highlight w:val="none"/>
          <w:lang w:val="en-US" w:eastAsia="zh-CN"/>
        </w:rPr>
        <w:t>7</w:t>
      </w:r>
      <w:r>
        <w:rPr>
          <w:rFonts w:hint="eastAsia" w:ascii="宋体" w:hAnsi="宋体"/>
          <w:bCs/>
          <w:color w:val="000000"/>
          <w:sz w:val="24"/>
          <w:szCs w:val="18"/>
          <w:highlight w:val="none"/>
        </w:rPr>
        <w:t>月</w:t>
      </w:r>
      <w:r>
        <w:rPr>
          <w:rFonts w:hint="eastAsia" w:ascii="宋体" w:hAnsi="宋体"/>
          <w:bCs/>
          <w:color w:val="000000"/>
          <w:sz w:val="24"/>
          <w:szCs w:val="18"/>
          <w:highlight w:val="none"/>
          <w:lang w:val="en-US" w:eastAsia="zh-CN"/>
        </w:rPr>
        <w:t>22</w:t>
      </w:r>
      <w:r>
        <w:rPr>
          <w:rFonts w:hint="eastAsia" w:ascii="宋体" w:hAnsi="宋体"/>
          <w:bCs/>
          <w:color w:val="000000"/>
          <w:sz w:val="24"/>
          <w:szCs w:val="18"/>
          <w:highlight w:val="none"/>
        </w:rPr>
        <w:t>日</w:t>
      </w:r>
      <w:r>
        <w:rPr>
          <w:rFonts w:hint="eastAsia" w:ascii="宋体" w:hAnsi="宋体"/>
          <w:bCs/>
          <w:color w:val="000000"/>
          <w:sz w:val="24"/>
          <w:szCs w:val="18"/>
          <w:highlight w:val="none"/>
          <w:lang w:val="en-US" w:eastAsia="zh-CN"/>
        </w:rPr>
        <w:t>8:00</w:t>
      </w:r>
      <w:r>
        <w:rPr>
          <w:rFonts w:hint="eastAsia" w:ascii="宋体" w:hAnsi="宋体"/>
          <w:bCs/>
          <w:color w:val="000000"/>
          <w:sz w:val="24"/>
          <w:szCs w:val="18"/>
          <w:highlight w:val="none"/>
        </w:rPr>
        <w:t>至</w:t>
      </w:r>
      <w:r>
        <w:rPr>
          <w:rFonts w:hint="eastAsia" w:ascii="宋体" w:hAnsi="宋体"/>
          <w:bCs/>
          <w:color w:val="000000"/>
          <w:sz w:val="24"/>
          <w:szCs w:val="18"/>
          <w:highlight w:val="none"/>
          <w:lang w:val="en-US" w:eastAsia="zh-CN"/>
        </w:rPr>
        <w:t>2022</w:t>
      </w:r>
      <w:r>
        <w:rPr>
          <w:rFonts w:hint="eastAsia" w:ascii="宋体" w:hAnsi="宋体"/>
          <w:bCs/>
          <w:color w:val="000000"/>
          <w:sz w:val="24"/>
          <w:szCs w:val="18"/>
          <w:highlight w:val="none"/>
        </w:rPr>
        <w:t>年</w:t>
      </w:r>
      <w:r>
        <w:rPr>
          <w:rFonts w:hint="eastAsia" w:ascii="宋体" w:hAnsi="宋体"/>
          <w:bCs/>
          <w:color w:val="000000"/>
          <w:sz w:val="24"/>
          <w:szCs w:val="18"/>
          <w:highlight w:val="none"/>
          <w:lang w:val="en-US" w:eastAsia="zh-CN"/>
        </w:rPr>
        <w:t>8</w:t>
      </w:r>
      <w:r>
        <w:rPr>
          <w:rFonts w:hint="eastAsia" w:ascii="宋体" w:hAnsi="宋体"/>
          <w:bCs/>
          <w:color w:val="000000"/>
          <w:sz w:val="24"/>
          <w:szCs w:val="18"/>
          <w:highlight w:val="none"/>
        </w:rPr>
        <w:t>月</w:t>
      </w:r>
      <w:r>
        <w:rPr>
          <w:rFonts w:hint="eastAsia" w:ascii="宋体" w:hAnsi="宋体"/>
          <w:bCs/>
          <w:color w:val="000000"/>
          <w:sz w:val="24"/>
          <w:szCs w:val="18"/>
          <w:highlight w:val="none"/>
          <w:lang w:val="en-US" w:eastAsia="zh-CN"/>
        </w:rPr>
        <w:t>10</w:t>
      </w:r>
      <w:r>
        <w:rPr>
          <w:rFonts w:hint="eastAsia" w:ascii="宋体" w:hAnsi="宋体"/>
          <w:bCs/>
          <w:color w:val="000000"/>
          <w:sz w:val="24"/>
          <w:szCs w:val="18"/>
          <w:highlight w:val="none"/>
        </w:rPr>
        <w:t>日</w:t>
      </w:r>
      <w:r>
        <w:rPr>
          <w:rFonts w:hint="eastAsia" w:ascii="宋体" w:hAnsi="宋体"/>
          <w:bCs/>
          <w:color w:val="000000"/>
          <w:sz w:val="24"/>
          <w:szCs w:val="18"/>
          <w:highlight w:val="none"/>
          <w:lang w:val="en-US" w:eastAsia="zh-CN"/>
        </w:rPr>
        <w:t>17:00止</w:t>
      </w:r>
    </w:p>
    <w:p>
      <w:pPr>
        <w:autoSpaceDE w:val="0"/>
        <w:autoSpaceDN w:val="0"/>
        <w:adjustRightInd w:val="0"/>
        <w:spacing w:line="360" w:lineRule="auto"/>
        <w:ind w:firstLine="200"/>
        <w:jc w:val="left"/>
        <w:rPr>
          <w:rFonts w:hint="default" w:ascii="宋体" w:hAnsi="宋体" w:eastAsia="宋体"/>
          <w:bCs/>
          <w:color w:val="000000"/>
          <w:sz w:val="24"/>
          <w:szCs w:val="18"/>
          <w:highlight w:val="none"/>
          <w:lang w:val="en-US" w:eastAsia="zh-CN"/>
        </w:rPr>
      </w:pPr>
      <w:r>
        <w:rPr>
          <w:rFonts w:hint="eastAsia" w:ascii="宋体" w:hAnsi="宋体"/>
          <w:bCs/>
          <w:color w:val="000000"/>
          <w:sz w:val="24"/>
          <w:szCs w:val="18"/>
          <w:highlight w:val="none"/>
        </w:rPr>
        <w:t xml:space="preserve">2、报名地点： </w:t>
      </w:r>
      <w:r>
        <w:rPr>
          <w:rFonts w:hint="eastAsia" w:ascii="宋体" w:hAnsi="宋体"/>
          <w:bCs/>
          <w:color w:val="000000"/>
          <w:sz w:val="24"/>
          <w:szCs w:val="18"/>
          <w:highlight w:val="none"/>
          <w:lang w:eastAsia="zh-CN"/>
        </w:rPr>
        <w:t>桐城市</w:t>
      </w:r>
      <w:r>
        <w:rPr>
          <w:rFonts w:hint="eastAsia" w:ascii="宋体" w:hAnsi="宋体"/>
          <w:bCs/>
          <w:color w:val="000000"/>
          <w:sz w:val="24"/>
          <w:szCs w:val="18"/>
          <w:highlight w:val="none"/>
          <w:lang w:val="en-US" w:eastAsia="zh-CN"/>
        </w:rPr>
        <w:t>房产管理中心</w:t>
      </w:r>
      <w:r>
        <w:rPr>
          <w:rFonts w:hint="eastAsia" w:ascii="宋体" w:hAnsi="宋体"/>
          <w:bCs/>
          <w:color w:val="000000"/>
          <w:sz w:val="24"/>
          <w:szCs w:val="18"/>
          <w:highlight w:val="none"/>
          <w:lang w:eastAsia="zh-CN"/>
        </w:rPr>
        <w:t>物业办（</w:t>
      </w:r>
      <w:r>
        <w:rPr>
          <w:rFonts w:hint="eastAsia" w:ascii="宋体" w:hAnsi="宋体"/>
          <w:bCs/>
          <w:color w:val="000000"/>
          <w:sz w:val="24"/>
          <w:szCs w:val="18"/>
          <w:highlight w:val="none"/>
          <w:lang w:val="en-US" w:eastAsia="zh-CN"/>
        </w:rPr>
        <w:t>沿河东路39号）</w:t>
      </w:r>
    </w:p>
    <w:p>
      <w:pPr>
        <w:autoSpaceDE w:val="0"/>
        <w:autoSpaceDN w:val="0"/>
        <w:adjustRightInd w:val="0"/>
        <w:spacing w:line="360" w:lineRule="auto"/>
        <w:ind w:firstLine="200"/>
        <w:jc w:val="left"/>
        <w:rPr>
          <w:rFonts w:hint="eastAsia" w:ascii="宋体" w:hAnsi="宋体"/>
          <w:bCs/>
          <w:color w:val="000000"/>
          <w:sz w:val="24"/>
          <w:szCs w:val="18"/>
          <w:highlight w:val="none"/>
        </w:rPr>
      </w:pPr>
      <w:r>
        <w:rPr>
          <w:rFonts w:hint="eastAsia" w:ascii="宋体" w:hAnsi="宋体"/>
          <w:bCs/>
          <w:color w:val="000000"/>
          <w:sz w:val="24"/>
          <w:szCs w:val="18"/>
          <w:highlight w:val="none"/>
        </w:rPr>
        <w:t>3、报名方式：现场报名</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4、报名材料：</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1）投标单位法定代表人身份证明或法定代表人授权委托书扫描件；</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2）营业执照扫描件；</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3）投标人认为可提供的其他材料。</w:t>
      </w:r>
    </w:p>
    <w:p>
      <w:pPr>
        <w:autoSpaceDE w:val="0"/>
        <w:autoSpaceDN w:val="0"/>
        <w:adjustRightInd w:val="0"/>
        <w:spacing w:line="360" w:lineRule="auto"/>
        <w:ind w:firstLine="200"/>
        <w:jc w:val="left"/>
        <w:rPr>
          <w:rFonts w:hint="eastAsia" w:ascii="宋体" w:hAnsi="宋体"/>
          <w:bCs/>
          <w:sz w:val="24"/>
          <w:szCs w:val="18"/>
        </w:rPr>
      </w:pPr>
      <w:r>
        <w:rPr>
          <w:rFonts w:hint="eastAsia" w:ascii="宋体" w:hAnsi="宋体"/>
          <w:bCs/>
          <w:sz w:val="24"/>
          <w:szCs w:val="18"/>
        </w:rPr>
        <w:t>（注：所有报名资料均须提供加盖公章的扫描件，报名资料不齐全或不符要求者，招标人或招标代理机构有权拒绝其报名。未领购招标文件不得参加投标。）</w:t>
      </w:r>
    </w:p>
    <w:p>
      <w:pPr>
        <w:spacing w:line="360" w:lineRule="auto"/>
        <w:ind w:left="1"/>
        <w:rPr>
          <w:rFonts w:ascii="宋体"/>
          <w:sz w:val="24"/>
          <w:szCs w:val="24"/>
        </w:rPr>
      </w:pPr>
      <w:r>
        <w:rPr>
          <w:rFonts w:hint="eastAsia" w:ascii="宋体" w:hAnsi="宋体" w:cs="宋体"/>
          <w:sz w:val="24"/>
          <w:szCs w:val="24"/>
        </w:rPr>
        <w:t>四、开标时间及开标地点：详见招标文件。</w:t>
      </w:r>
    </w:p>
    <w:p>
      <w:pPr>
        <w:spacing w:line="360" w:lineRule="auto"/>
        <w:ind w:left="1"/>
        <w:rPr>
          <w:rFonts w:ascii="宋体"/>
          <w:sz w:val="24"/>
          <w:szCs w:val="24"/>
        </w:rPr>
      </w:pPr>
      <w:r>
        <w:rPr>
          <w:rFonts w:hint="eastAsia" w:ascii="宋体" w:hAnsi="宋体" w:cs="宋体"/>
          <w:sz w:val="24"/>
          <w:szCs w:val="24"/>
        </w:rPr>
        <w:t>五、联系方式</w:t>
      </w:r>
    </w:p>
    <w:p>
      <w:pPr>
        <w:spacing w:line="360" w:lineRule="auto"/>
        <w:ind w:left="1"/>
        <w:rPr>
          <w:rFonts w:hint="eastAsia" w:ascii="宋体" w:hAnsi="宋体" w:eastAsia="宋体" w:cs="宋体"/>
          <w:sz w:val="24"/>
          <w:szCs w:val="24"/>
          <w:lang w:eastAsia="zh-CN"/>
        </w:rPr>
      </w:pPr>
      <w:r>
        <w:rPr>
          <w:rFonts w:hint="eastAsia" w:ascii="宋体" w:hAnsi="宋体" w:cs="宋体"/>
          <w:sz w:val="24"/>
          <w:szCs w:val="24"/>
        </w:rPr>
        <w:t>招标人：</w:t>
      </w:r>
      <w:r>
        <w:rPr>
          <w:rFonts w:hint="eastAsia" w:ascii="宋体" w:hAnsi="宋体"/>
          <w:bCs/>
          <w:sz w:val="24"/>
          <w:szCs w:val="18"/>
          <w:lang w:eastAsia="zh-CN"/>
        </w:rPr>
        <w:t>安徽国翠玉艺股份有限公司</w:t>
      </w:r>
    </w:p>
    <w:p>
      <w:pPr>
        <w:spacing w:line="360" w:lineRule="auto"/>
        <w:ind w:left="1"/>
        <w:rPr>
          <w:rFonts w:hint="eastAsia" w:ascii="宋体" w:eastAsia="宋体"/>
          <w:sz w:val="24"/>
          <w:szCs w:val="24"/>
          <w:lang w:eastAsia="zh-CN"/>
        </w:rPr>
      </w:pPr>
      <w:r>
        <w:rPr>
          <w:rFonts w:hint="eastAsia" w:ascii="宋体" w:hAnsi="宋体" w:cs="宋体"/>
          <w:sz w:val="24"/>
          <w:szCs w:val="24"/>
        </w:rPr>
        <w:t xml:space="preserve">联系人： </w:t>
      </w:r>
      <w:r>
        <w:rPr>
          <w:rFonts w:hint="eastAsia" w:ascii="宋体" w:hAnsi="宋体" w:cs="宋体"/>
          <w:sz w:val="24"/>
          <w:szCs w:val="24"/>
          <w:lang w:eastAsia="zh-CN"/>
        </w:rPr>
        <w:t>姚勇</w:t>
      </w:r>
    </w:p>
    <w:p>
      <w:pPr>
        <w:spacing w:line="360" w:lineRule="auto"/>
        <w:ind w:left="1"/>
        <w:rPr>
          <w:rFonts w:ascii="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13905568091</w:t>
      </w:r>
      <w:r>
        <w:rPr>
          <w:rFonts w:hint="eastAsia" w:ascii="宋体" w:hAnsi="宋体" w:cs="宋体"/>
          <w:sz w:val="24"/>
          <w:szCs w:val="24"/>
        </w:rPr>
        <w:t xml:space="preserve"> </w:t>
      </w:r>
    </w:p>
    <w:p>
      <w:pPr>
        <w:spacing w:line="360" w:lineRule="auto"/>
        <w:rPr>
          <w:rFonts w:hint="eastAsia" w:ascii="宋体" w:hAnsi="宋体"/>
          <w:bCs/>
          <w:sz w:val="24"/>
          <w:szCs w:val="18"/>
          <w:highlight w:val="none"/>
          <w:lang w:val="en-US" w:eastAsia="zh-CN"/>
        </w:rPr>
      </w:pPr>
      <w:r>
        <w:rPr>
          <w:rFonts w:hint="eastAsia" w:ascii="宋体" w:hAnsi="宋体" w:cs="宋体"/>
          <w:sz w:val="24"/>
          <w:szCs w:val="24"/>
          <w:highlight w:val="none"/>
        </w:rPr>
        <w:t>详细地址：</w:t>
      </w:r>
      <w:r>
        <w:rPr>
          <w:rFonts w:hint="eastAsia" w:ascii="宋体" w:hAnsi="宋体"/>
          <w:bCs/>
          <w:sz w:val="24"/>
          <w:szCs w:val="18"/>
          <w:highlight w:val="none"/>
        </w:rPr>
        <w:t xml:space="preserve"> </w:t>
      </w:r>
      <w:r>
        <w:rPr>
          <w:rFonts w:hint="eastAsia" w:ascii="宋体" w:hAnsi="宋体"/>
          <w:bCs/>
          <w:sz w:val="24"/>
          <w:szCs w:val="18"/>
          <w:highlight w:val="none"/>
          <w:lang w:eastAsia="zh-CN"/>
        </w:rPr>
        <w:t>桐城市经开区龙池路与和平路交叉口西北侧</w:t>
      </w:r>
      <w:r>
        <w:rPr>
          <w:rFonts w:hint="eastAsia" w:ascii="宋体" w:hAnsi="宋体"/>
          <w:bCs/>
          <w:sz w:val="24"/>
          <w:szCs w:val="18"/>
          <w:highlight w:val="none"/>
          <w:lang w:val="en-US" w:eastAsia="zh-CN"/>
        </w:rPr>
        <w:t xml:space="preserve"> 国翠公馆营销中心</w:t>
      </w:r>
    </w:p>
    <w:p>
      <w:pPr>
        <w:pStyle w:val="2"/>
        <w:ind w:firstLine="3600" w:firstLineChars="1500"/>
        <w:rPr>
          <w:rFonts w:hint="eastAsia" w:ascii="宋体" w:hAnsi="宋体"/>
          <w:bCs/>
          <w:sz w:val="24"/>
          <w:szCs w:val="18"/>
          <w:highlight w:val="none"/>
          <w:lang w:val="en-US" w:eastAsia="zh-CN"/>
        </w:rPr>
      </w:pPr>
    </w:p>
    <w:p>
      <w:pPr>
        <w:pStyle w:val="2"/>
        <w:ind w:firstLine="5040" w:firstLineChars="2100"/>
        <w:rPr>
          <w:rFonts w:hint="default"/>
          <w:lang w:val="en-US" w:eastAsia="zh-CN"/>
        </w:rPr>
      </w:pPr>
      <w:r>
        <w:rPr>
          <w:rFonts w:hint="eastAsia" w:ascii="宋体" w:hAnsi="宋体"/>
          <w:bCs/>
          <w:sz w:val="24"/>
          <w:szCs w:val="18"/>
          <w:highlight w:val="none"/>
          <w:lang w:val="en-US" w:eastAsia="zh-CN"/>
        </w:rPr>
        <w:t>安徽国翠玉艺股份有限公司</w:t>
      </w:r>
    </w:p>
    <w:p>
      <w:pPr>
        <w:pStyle w:val="4"/>
        <w:spacing w:line="500" w:lineRule="exact"/>
        <w:rPr>
          <w:rFonts w:hint="eastAsia" w:ascii="宋体" w:hAnsi="宋体" w:eastAsia="宋体"/>
          <w:b w:val="0"/>
        </w:rPr>
      </w:pPr>
      <w:bookmarkStart w:id="6" w:name="_Toc504073348"/>
      <w:r>
        <w:rPr>
          <w:rFonts w:hint="eastAsia" w:ascii="宋体" w:hAnsi="宋体" w:eastAsia="宋体"/>
          <w:lang w:val="en-US" w:eastAsia="zh-CN"/>
        </w:rPr>
        <w:t xml:space="preserve">           </w:t>
      </w:r>
      <w:r>
        <w:rPr>
          <w:rFonts w:hint="eastAsia" w:ascii="宋体" w:hAnsi="宋体" w:eastAsia="宋体"/>
          <w:b w:val="0"/>
          <w:bCs w:val="0"/>
          <w:lang w:val="en-US" w:eastAsia="zh-CN"/>
        </w:rPr>
        <w:t xml:space="preserve">         2022年7月21日</w:t>
      </w:r>
      <w:r>
        <w:rPr>
          <w:rFonts w:hint="eastAsia" w:ascii="宋体" w:hAnsi="宋体" w:eastAsia="宋体"/>
        </w:rPr>
        <w:br w:type="page"/>
      </w:r>
      <w:r>
        <w:rPr>
          <w:rFonts w:hint="eastAsia" w:ascii="宋体" w:hAnsi="宋体" w:eastAsia="宋体"/>
        </w:rPr>
        <w:t>第二章 投标人须</w:t>
      </w:r>
      <w:bookmarkEnd w:id="4"/>
      <w:r>
        <w:rPr>
          <w:rFonts w:hint="eastAsia" w:ascii="宋体" w:hAnsi="宋体" w:eastAsia="宋体"/>
        </w:rPr>
        <w:t>知前</w:t>
      </w:r>
      <w:bookmarkEnd w:id="5"/>
      <w:r>
        <w:rPr>
          <w:rFonts w:hint="eastAsia" w:ascii="宋体" w:hAnsi="宋体" w:eastAsia="宋体"/>
        </w:rPr>
        <w:t>附表</w:t>
      </w:r>
      <w:bookmarkEnd w:id="6"/>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b/>
                <w:sz w:val="24"/>
              </w:rPr>
            </w:pPr>
            <w:r>
              <w:rPr>
                <w:rFonts w:hint="eastAsia" w:ascii="宋体" w:hAnsi="宋体"/>
                <w:b/>
                <w:sz w:val="24"/>
              </w:rPr>
              <w:t>序号</w:t>
            </w:r>
          </w:p>
        </w:tc>
        <w:tc>
          <w:tcPr>
            <w:tcW w:w="2389" w:type="dxa"/>
            <w:noWrap w:val="0"/>
            <w:vAlign w:val="center"/>
          </w:tcPr>
          <w:p>
            <w:pPr>
              <w:jc w:val="center"/>
              <w:rPr>
                <w:rFonts w:hint="eastAsia" w:ascii="宋体" w:hAnsi="宋体"/>
                <w:b/>
                <w:sz w:val="24"/>
              </w:rPr>
            </w:pPr>
            <w:r>
              <w:rPr>
                <w:rFonts w:hint="eastAsia" w:ascii="宋体" w:hAnsi="宋体"/>
                <w:b/>
                <w:sz w:val="24"/>
              </w:rPr>
              <w:t>内容</w:t>
            </w:r>
          </w:p>
        </w:tc>
        <w:tc>
          <w:tcPr>
            <w:tcW w:w="6090" w:type="dxa"/>
            <w:noWrap w:val="0"/>
            <w:vAlign w:val="center"/>
          </w:tcPr>
          <w:p>
            <w:pPr>
              <w:pStyle w:val="90"/>
              <w:widowControl w:val="0"/>
              <w:spacing w:before="0" w:beforeAutospacing="0" w:after="0" w:afterAutospacing="0"/>
              <w:rPr>
                <w:rFonts w:hint="eastAsia"/>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pStyle w:val="89"/>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1</w:t>
            </w:r>
          </w:p>
        </w:tc>
        <w:tc>
          <w:tcPr>
            <w:tcW w:w="2389" w:type="dxa"/>
            <w:noWrap w:val="0"/>
            <w:vAlign w:val="center"/>
          </w:tcPr>
          <w:p>
            <w:pPr>
              <w:jc w:val="center"/>
              <w:rPr>
                <w:rFonts w:hint="eastAsia" w:ascii="宋体" w:hAnsi="宋体"/>
                <w:bCs/>
                <w:sz w:val="24"/>
              </w:rPr>
            </w:pPr>
            <w:r>
              <w:rPr>
                <w:rFonts w:hint="eastAsia" w:ascii="宋体" w:hAnsi="宋体"/>
                <w:bCs/>
                <w:sz w:val="24"/>
              </w:rPr>
              <w:t>招标人</w:t>
            </w:r>
          </w:p>
        </w:tc>
        <w:tc>
          <w:tcPr>
            <w:tcW w:w="6090" w:type="dxa"/>
            <w:noWrap w:val="0"/>
            <w:vAlign w:val="center"/>
          </w:tcPr>
          <w:p>
            <w:pPr>
              <w:spacing w:line="360" w:lineRule="auto"/>
              <w:ind w:firstLine="240" w:firstLineChars="100"/>
              <w:rPr>
                <w:rFonts w:hint="eastAsia" w:eastAsia="宋体"/>
                <w:b/>
                <w:bCs/>
                <w:sz w:val="24"/>
                <w:szCs w:val="18"/>
                <w:lang w:eastAsia="zh-CN"/>
              </w:rPr>
            </w:pPr>
            <w:r>
              <w:rPr>
                <w:rFonts w:hint="eastAsia" w:ascii="宋体" w:hAnsi="宋体"/>
                <w:bCs/>
                <w:sz w:val="24"/>
                <w:szCs w:val="18"/>
                <w:lang w:eastAsia="zh-CN"/>
              </w:rPr>
              <w:t>安徽国翠玉艺股份有限公司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bCs/>
                <w:sz w:val="24"/>
              </w:rPr>
            </w:pPr>
            <w:r>
              <w:rPr>
                <w:rFonts w:hint="eastAsia" w:ascii="宋体" w:hAnsi="宋体"/>
                <w:bCs/>
                <w:sz w:val="24"/>
              </w:rPr>
              <w:t>2</w:t>
            </w:r>
          </w:p>
        </w:tc>
        <w:tc>
          <w:tcPr>
            <w:tcW w:w="2389" w:type="dxa"/>
            <w:noWrap w:val="0"/>
            <w:vAlign w:val="center"/>
          </w:tcPr>
          <w:p>
            <w:pPr>
              <w:jc w:val="center"/>
              <w:rPr>
                <w:rFonts w:hint="eastAsia" w:ascii="宋体" w:hAnsi="宋体"/>
                <w:bCs/>
                <w:sz w:val="24"/>
              </w:rPr>
            </w:pPr>
            <w:r>
              <w:rPr>
                <w:rFonts w:hint="eastAsia" w:ascii="宋体" w:hAnsi="宋体"/>
                <w:bCs/>
                <w:sz w:val="24"/>
              </w:rPr>
              <w:t>项目名称</w:t>
            </w:r>
          </w:p>
        </w:tc>
        <w:tc>
          <w:tcPr>
            <w:tcW w:w="6090" w:type="dxa"/>
            <w:noWrap w:val="0"/>
            <w:vAlign w:val="center"/>
          </w:tcPr>
          <w:p>
            <w:pPr>
              <w:pStyle w:val="90"/>
              <w:widowControl w:val="0"/>
              <w:spacing w:before="0" w:beforeAutospacing="0" w:after="0" w:afterAutospacing="0"/>
              <w:jc w:val="both"/>
              <w:rPr>
                <w:rFonts w:hint="eastAsia"/>
                <w:b w:val="0"/>
                <w:kern w:val="2"/>
                <w:sz w:val="24"/>
                <w:szCs w:val="18"/>
              </w:rPr>
            </w:pPr>
            <w:r>
              <w:rPr>
                <w:rFonts w:hint="eastAsia"/>
                <w:b w:val="0"/>
                <w:kern w:val="2"/>
                <w:sz w:val="24"/>
                <w:szCs w:val="18"/>
              </w:rPr>
              <w:t xml:space="preserve"> </w:t>
            </w:r>
            <w:r>
              <w:rPr>
                <w:rFonts w:hint="eastAsia"/>
                <w:b w:val="0"/>
                <w:kern w:val="2"/>
                <w:sz w:val="24"/>
                <w:szCs w:val="18"/>
                <w:lang w:eastAsia="zh-CN"/>
              </w:rPr>
              <w:t xml:space="preserve"> 桐城玉雕文化产业园</w:t>
            </w:r>
            <w:r>
              <w:rPr>
                <w:rFonts w:hint="eastAsia"/>
                <w:b w:val="0"/>
                <w:kern w:val="2"/>
                <w:sz w:val="24"/>
                <w:szCs w:val="18"/>
              </w:rPr>
              <w:t>前期物业管理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bCs/>
                <w:sz w:val="24"/>
              </w:rPr>
            </w:pPr>
            <w:r>
              <w:rPr>
                <w:rFonts w:hint="eastAsia" w:ascii="宋体" w:hAnsi="宋体"/>
                <w:bCs/>
                <w:sz w:val="24"/>
              </w:rPr>
              <w:t>3</w:t>
            </w:r>
          </w:p>
        </w:tc>
        <w:tc>
          <w:tcPr>
            <w:tcW w:w="2389" w:type="dxa"/>
            <w:noWrap w:val="0"/>
            <w:vAlign w:val="center"/>
          </w:tcPr>
          <w:p>
            <w:pPr>
              <w:jc w:val="center"/>
              <w:rPr>
                <w:rFonts w:hint="eastAsia" w:ascii="宋体" w:hAnsi="宋体"/>
                <w:sz w:val="24"/>
              </w:rPr>
            </w:pPr>
            <w:r>
              <w:rPr>
                <w:rFonts w:hint="eastAsia" w:ascii="宋体" w:hAnsi="宋体"/>
                <w:sz w:val="24"/>
              </w:rPr>
              <w:t>项目性质</w:t>
            </w:r>
          </w:p>
        </w:tc>
        <w:tc>
          <w:tcPr>
            <w:tcW w:w="6090" w:type="dxa"/>
            <w:noWrap w:val="0"/>
            <w:vAlign w:val="center"/>
          </w:tcPr>
          <w:p>
            <w:pPr>
              <w:pStyle w:val="90"/>
              <w:widowControl w:val="0"/>
              <w:spacing w:before="0" w:beforeAutospacing="0" w:after="0" w:afterAutospacing="0"/>
              <w:jc w:val="both"/>
              <w:rPr>
                <w:b w:val="0"/>
                <w:bCs w:val="0"/>
                <w:sz w:val="24"/>
              </w:rPr>
            </w:pPr>
            <w:r>
              <w:rPr>
                <w:rFonts w:hint="eastAsia"/>
                <w:b w:val="0"/>
                <w:bCs w:val="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bCs/>
                <w:sz w:val="24"/>
              </w:rPr>
            </w:pPr>
            <w:r>
              <w:rPr>
                <w:rFonts w:hint="eastAsia" w:ascii="宋体" w:hAnsi="宋体"/>
                <w:bCs/>
                <w:sz w:val="24"/>
              </w:rPr>
              <w:t>4</w:t>
            </w:r>
          </w:p>
        </w:tc>
        <w:tc>
          <w:tcPr>
            <w:tcW w:w="2389" w:type="dxa"/>
            <w:noWrap w:val="0"/>
            <w:vAlign w:val="center"/>
          </w:tcPr>
          <w:p>
            <w:pPr>
              <w:jc w:val="center"/>
              <w:rPr>
                <w:rFonts w:hint="eastAsia" w:ascii="宋体" w:hAnsi="宋体"/>
                <w:sz w:val="24"/>
              </w:rPr>
            </w:pPr>
            <w:r>
              <w:rPr>
                <w:rFonts w:hint="eastAsia" w:ascii="宋体" w:hAnsi="宋体"/>
                <w:sz w:val="24"/>
              </w:rPr>
              <w:t>资金来源</w:t>
            </w:r>
          </w:p>
        </w:tc>
        <w:tc>
          <w:tcPr>
            <w:tcW w:w="6090" w:type="dxa"/>
            <w:noWrap w:val="0"/>
            <w:vAlign w:val="center"/>
          </w:tcPr>
          <w:p>
            <w:pPr>
              <w:pStyle w:val="90"/>
              <w:widowControl w:val="0"/>
              <w:spacing w:before="0" w:beforeAutospacing="0" w:after="0" w:afterAutospacing="0"/>
              <w:jc w:val="both"/>
              <w:rPr>
                <w:b w:val="0"/>
                <w:bCs w:val="0"/>
                <w:sz w:val="24"/>
              </w:rPr>
            </w:pPr>
            <w:r>
              <w:rPr>
                <w:rFonts w:hint="eastAsia"/>
                <w:b w:val="0"/>
                <w:bCs w:val="0"/>
                <w:sz w:val="24"/>
              </w:rPr>
              <w:t>□</w:t>
            </w:r>
            <w:r>
              <w:rPr>
                <w:rFonts w:hint="eastAsia"/>
                <w:b w:val="0"/>
                <w:bCs w:val="0"/>
                <w:sz w:val="24"/>
                <w:lang w:val="zh-CN"/>
              </w:rPr>
              <w:t xml:space="preserve">财政投资  </w:t>
            </w:r>
            <w:r>
              <w:rPr>
                <w:rFonts w:hint="eastAsia"/>
                <w:b w:val="0"/>
                <w:bCs w:val="0"/>
                <w:sz w:val="24"/>
              </w:rPr>
              <w:sym w:font="Wingdings" w:char="F0FE"/>
            </w:r>
            <w:r>
              <w:rPr>
                <w:rFonts w:hint="eastAsia"/>
                <w:b w:val="0"/>
                <w:bCs w:val="0"/>
                <w:sz w:val="24"/>
              </w:rPr>
              <w:t>招标人</w:t>
            </w:r>
            <w:r>
              <w:rPr>
                <w:rFonts w:hint="eastAsia"/>
                <w:b w:val="0"/>
                <w:bCs w:val="0"/>
                <w:sz w:val="24"/>
                <w:lang w:val="zh-CN"/>
              </w:rPr>
              <w:t xml:space="preserve">自筹  </w:t>
            </w:r>
            <w:r>
              <w:rPr>
                <w:rFonts w:hint="eastAsia"/>
                <w:b w:val="0"/>
                <w:bCs w:val="0"/>
                <w:sz w:val="24"/>
              </w:rPr>
              <w:t>□</w:t>
            </w:r>
            <w:r>
              <w:rPr>
                <w:rFonts w:hint="eastAsia"/>
                <w:b w:val="0"/>
                <w:bCs w:val="0"/>
                <w:sz w:val="24"/>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5</w:t>
            </w:r>
          </w:p>
        </w:tc>
        <w:tc>
          <w:tcPr>
            <w:tcW w:w="2389" w:type="dxa"/>
            <w:noWrap w:val="0"/>
            <w:vAlign w:val="top"/>
          </w:tcPr>
          <w:p>
            <w:pPr>
              <w:spacing w:line="500" w:lineRule="exact"/>
              <w:jc w:val="center"/>
              <w:rPr>
                <w:rFonts w:hint="eastAsia" w:ascii="宋体" w:hAnsi="宋体"/>
                <w:sz w:val="24"/>
                <w:lang w:val="zh-CN"/>
              </w:rPr>
            </w:pPr>
            <w:r>
              <w:rPr>
                <w:rFonts w:hint="eastAsia" w:ascii="宋体" w:hAnsi="宋体"/>
                <w:sz w:val="24"/>
              </w:rPr>
              <w:t>包别划分</w:t>
            </w:r>
          </w:p>
        </w:tc>
        <w:tc>
          <w:tcPr>
            <w:tcW w:w="6090" w:type="dxa"/>
            <w:noWrap w:val="0"/>
            <w:vAlign w:val="center"/>
          </w:tcPr>
          <w:p>
            <w:pPr>
              <w:spacing w:line="500" w:lineRule="exact"/>
              <w:ind w:left="841" w:hanging="841"/>
              <w:rPr>
                <w:rFonts w:hint="eastAsia" w:ascii="宋体" w:hAnsi="宋体"/>
                <w:bCs/>
                <w:sz w:val="24"/>
              </w:rPr>
            </w:pPr>
            <w:r>
              <w:rPr>
                <w:rFonts w:hint="eastAsia"/>
                <w:b/>
                <w:bCs/>
                <w:sz w:val="24"/>
              </w:rPr>
              <w:sym w:font="Wingdings" w:char="F0FE"/>
            </w:r>
            <w:r>
              <w:rPr>
                <w:rFonts w:hint="eastAsia" w:ascii="宋体" w:hAnsi="宋体"/>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6" w:type="dxa"/>
            <w:noWrap w:val="0"/>
            <w:vAlign w:val="center"/>
          </w:tcPr>
          <w:p>
            <w:pPr>
              <w:spacing w:line="500" w:lineRule="exact"/>
              <w:ind w:right="102"/>
              <w:jc w:val="center"/>
              <w:rPr>
                <w:rFonts w:hint="eastAsia" w:ascii="宋体" w:hAnsi="宋体"/>
                <w:sz w:val="24"/>
              </w:rPr>
            </w:pPr>
            <w:r>
              <w:rPr>
                <w:rFonts w:hint="eastAsia" w:ascii="宋体" w:hAnsi="宋体"/>
                <w:sz w:val="24"/>
              </w:rPr>
              <w:t>6</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lang w:val="zh-CN"/>
              </w:rPr>
              <w:t>付款方式</w:t>
            </w:r>
          </w:p>
        </w:tc>
        <w:tc>
          <w:tcPr>
            <w:tcW w:w="6090" w:type="dxa"/>
            <w:noWrap w:val="0"/>
            <w:vAlign w:val="top"/>
          </w:tcPr>
          <w:p>
            <w:pPr>
              <w:pStyle w:val="76"/>
              <w:spacing w:line="500" w:lineRule="exact"/>
              <w:rPr>
                <w:rFonts w:hint="eastAsia" w:ascii="宋体" w:hAnsi="宋体"/>
                <w:bCs/>
              </w:rPr>
            </w:pPr>
            <w:r>
              <w:rPr>
                <w:rFonts w:hint="eastAsia" w:ascii="宋体" w:hAnsi="宋体"/>
                <w:lang w:val="zh-CN"/>
              </w:rPr>
              <w:t>付款方式：</w:t>
            </w:r>
            <w:r>
              <w:rPr>
                <w:rFonts w:hint="eastAsia" w:ascii="宋体" w:hAnsi="宋体"/>
                <w:bCs/>
              </w:rPr>
              <w:t>本合同以人民币付款。中标人应按双方签订的合同规定提供服务。物业管理费由中标人向业主依据其签订的服务合同约定方式收取。</w:t>
            </w:r>
          </w:p>
          <w:p>
            <w:pPr>
              <w:pStyle w:val="76"/>
              <w:spacing w:line="500" w:lineRule="exact"/>
              <w:rPr>
                <w:rFonts w:hint="eastAsia" w:ascii="宋体" w:hAnsi="宋体"/>
                <w:u w:val="single"/>
                <w:lang w:val="zh-CN"/>
              </w:rPr>
            </w:pPr>
            <w:r>
              <w:rPr>
                <w:rFonts w:hint="eastAsia" w:ascii="宋体" w:hAnsi="宋体"/>
                <w:bCs/>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pPr>
              <w:spacing w:line="500" w:lineRule="exact"/>
              <w:ind w:right="102"/>
              <w:jc w:val="center"/>
              <w:rPr>
                <w:rFonts w:hint="eastAsia" w:ascii="宋体" w:hAnsi="宋体"/>
                <w:sz w:val="24"/>
              </w:rPr>
            </w:pPr>
            <w:r>
              <w:rPr>
                <w:rFonts w:hint="eastAsia" w:ascii="宋体" w:hAnsi="宋体"/>
                <w:sz w:val="24"/>
              </w:rPr>
              <w:t>7</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联合体投标</w:t>
            </w:r>
          </w:p>
        </w:tc>
        <w:tc>
          <w:tcPr>
            <w:tcW w:w="6090" w:type="dxa"/>
            <w:noWrap w:val="0"/>
            <w:vAlign w:val="center"/>
          </w:tcPr>
          <w:p>
            <w:pPr>
              <w:spacing w:line="500" w:lineRule="exact"/>
              <w:rPr>
                <w:rFonts w:hint="eastAsia" w:ascii="宋体" w:hAnsi="宋体"/>
                <w:sz w:val="24"/>
              </w:rPr>
            </w:pPr>
            <w:r>
              <w:rPr>
                <w:rFonts w:hint="eastAsia" w:ascii="宋体" w:hAnsi="宋体"/>
                <w:sz w:val="24"/>
              </w:rPr>
              <w:t>□</w:t>
            </w:r>
            <w:r>
              <w:rPr>
                <w:rFonts w:hint="eastAsia" w:ascii="宋体" w:hAnsi="宋体"/>
                <w:sz w:val="24"/>
                <w:lang w:val="zh-CN"/>
              </w:rPr>
              <w:t xml:space="preserve">允许  </w:t>
            </w:r>
            <w:r>
              <w:rPr>
                <w:rFonts w:hint="eastAsia"/>
                <w:b/>
                <w:bCs/>
                <w:sz w:val="24"/>
              </w:rPr>
              <w:sym w:font="Wingdings" w:char="F0FE"/>
            </w: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8</w:t>
            </w:r>
          </w:p>
        </w:tc>
        <w:tc>
          <w:tcPr>
            <w:tcW w:w="2389" w:type="dxa"/>
            <w:noWrap w:val="0"/>
            <w:vAlign w:val="center"/>
          </w:tcPr>
          <w:p>
            <w:pPr>
              <w:spacing w:line="500" w:lineRule="exact"/>
              <w:jc w:val="center"/>
              <w:rPr>
                <w:rFonts w:hint="eastAsia" w:ascii="宋体" w:hAnsi="宋体"/>
                <w:sz w:val="24"/>
                <w:lang w:val="zh-CN"/>
              </w:rPr>
            </w:pPr>
            <w:r>
              <w:rPr>
                <w:rFonts w:hint="eastAsia" w:ascii="宋体" w:hAnsi="宋体"/>
                <w:sz w:val="24"/>
              </w:rPr>
              <w:t>投标有效期</w:t>
            </w:r>
          </w:p>
        </w:tc>
        <w:tc>
          <w:tcPr>
            <w:tcW w:w="6090" w:type="dxa"/>
            <w:noWrap w:val="0"/>
            <w:vAlign w:val="center"/>
          </w:tcPr>
          <w:p>
            <w:pPr>
              <w:spacing w:line="500" w:lineRule="exact"/>
              <w:rPr>
                <w:rFonts w:hint="eastAsia" w:ascii="宋体" w:hAnsi="宋体"/>
                <w:sz w:val="24"/>
              </w:rPr>
            </w:pPr>
            <w:r>
              <w:rPr>
                <w:rFonts w:hint="eastAsia" w:ascii="宋体" w:hAnsi="宋体"/>
                <w:bCs/>
                <w:sz w:val="24"/>
              </w:rPr>
              <w:t>开标后30天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9</w:t>
            </w:r>
          </w:p>
        </w:tc>
        <w:tc>
          <w:tcPr>
            <w:tcW w:w="2389" w:type="dxa"/>
            <w:noWrap w:val="0"/>
            <w:vAlign w:val="top"/>
          </w:tcPr>
          <w:p>
            <w:pPr>
              <w:spacing w:line="500" w:lineRule="exact"/>
              <w:jc w:val="center"/>
              <w:rPr>
                <w:rFonts w:hint="eastAsia" w:ascii="宋体" w:hAnsi="宋体"/>
                <w:sz w:val="24"/>
              </w:rPr>
            </w:pPr>
            <w:r>
              <w:rPr>
                <w:rFonts w:hint="eastAsia" w:ascii="宋体" w:hAnsi="宋体"/>
                <w:sz w:val="24"/>
              </w:rPr>
              <w:t>服务地点</w:t>
            </w:r>
          </w:p>
        </w:tc>
        <w:tc>
          <w:tcPr>
            <w:tcW w:w="6090" w:type="dxa"/>
            <w:noWrap w:val="0"/>
            <w:vAlign w:val="top"/>
          </w:tcPr>
          <w:p>
            <w:pPr>
              <w:spacing w:line="500" w:lineRule="exact"/>
              <w:rPr>
                <w:rFonts w:hint="eastAsia" w:ascii="宋体" w:hAnsi="宋体" w:eastAsia="宋体"/>
                <w:sz w:val="24"/>
                <w:lang w:eastAsia="zh-CN"/>
              </w:rPr>
            </w:pPr>
            <w:r>
              <w:rPr>
                <w:rFonts w:hint="eastAsia"/>
                <w:sz w:val="24"/>
                <w:szCs w:val="18"/>
                <w:lang w:eastAsia="zh-CN"/>
              </w:rPr>
              <w:t>桐城玉雕文化产业园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10</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服务周期</w:t>
            </w:r>
          </w:p>
        </w:tc>
        <w:tc>
          <w:tcPr>
            <w:tcW w:w="6090" w:type="dxa"/>
            <w:noWrap w:val="0"/>
            <w:vAlign w:val="center"/>
          </w:tcPr>
          <w:p>
            <w:pPr>
              <w:spacing w:line="500" w:lineRule="exact"/>
              <w:rPr>
                <w:rFonts w:ascii="宋体" w:hAnsi="宋体"/>
                <w:sz w:val="24"/>
              </w:rPr>
            </w:pPr>
            <w:r>
              <w:rPr>
                <w:rFonts w:hint="eastAsia" w:ascii="宋体" w:hAnsi="宋体"/>
                <w:sz w:val="24"/>
                <w:highlight w:val="none"/>
              </w:rPr>
              <w:t>合同后</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szCs w:val="28"/>
                <w:highlight w:val="none"/>
              </w:rPr>
              <w:t>若</w:t>
            </w:r>
            <w:r>
              <w:rPr>
                <w:rFonts w:hint="eastAsia" w:ascii="宋体" w:hAnsi="宋体"/>
                <w:sz w:val="24"/>
                <w:szCs w:val="28"/>
              </w:rPr>
              <w:t>合同期满甲乙双方无异议，则合同顺延</w:t>
            </w:r>
            <w:r>
              <w:rPr>
                <w:rFonts w:hint="eastAsia" w:ascii="宋体" w:hAnsi="宋体"/>
                <w:sz w:val="24"/>
                <w:szCs w:val="28"/>
                <w:lang w:eastAsia="zh-CN"/>
              </w:rPr>
              <w:t>；</w:t>
            </w:r>
            <w:r>
              <w:rPr>
                <w:rFonts w:hint="eastAsia" w:ascii="宋体" w:hAnsi="宋体"/>
                <w:sz w:val="24"/>
              </w:rPr>
              <w:t>期间业主委员会成立后并选定新物业公司，本合同终止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11</w:t>
            </w:r>
          </w:p>
        </w:tc>
        <w:tc>
          <w:tcPr>
            <w:tcW w:w="2389" w:type="dxa"/>
            <w:noWrap w:val="0"/>
            <w:vAlign w:val="center"/>
          </w:tcPr>
          <w:p>
            <w:pPr>
              <w:spacing w:line="500" w:lineRule="exact"/>
              <w:jc w:val="center"/>
              <w:rPr>
                <w:rFonts w:hint="eastAsia" w:ascii="宋体" w:hAnsi="宋体"/>
                <w:sz w:val="24"/>
                <w:lang w:val="zh-CN"/>
              </w:rPr>
            </w:pPr>
            <w:r>
              <w:rPr>
                <w:rFonts w:hint="eastAsia" w:ascii="宋体" w:hAnsi="宋体"/>
                <w:sz w:val="24"/>
              </w:rPr>
              <w:t>投标保证金金额</w:t>
            </w:r>
          </w:p>
        </w:tc>
        <w:tc>
          <w:tcPr>
            <w:tcW w:w="6090" w:type="dxa"/>
            <w:noWrap w:val="0"/>
            <w:vAlign w:val="center"/>
          </w:tcPr>
          <w:p>
            <w:pPr>
              <w:adjustRightInd w:val="0"/>
              <w:spacing w:line="460" w:lineRule="exact"/>
              <w:rPr>
                <w:rFonts w:ascii="宋体" w:hAnsi="宋体"/>
                <w:sz w:val="24"/>
              </w:rPr>
            </w:pPr>
            <w:r>
              <w:rPr>
                <w:rFonts w:hint="eastAsia" w:ascii="宋体" w:hAnsi="宋体"/>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12</w:t>
            </w:r>
          </w:p>
        </w:tc>
        <w:tc>
          <w:tcPr>
            <w:tcW w:w="2389" w:type="dxa"/>
            <w:noWrap w:val="0"/>
            <w:vAlign w:val="center"/>
          </w:tcPr>
          <w:p>
            <w:pPr>
              <w:spacing w:line="500" w:lineRule="exact"/>
              <w:jc w:val="center"/>
              <w:rPr>
                <w:rFonts w:hint="eastAsia" w:ascii="宋体" w:hAnsi="宋体"/>
                <w:sz w:val="24"/>
              </w:rPr>
            </w:pPr>
            <w:r>
              <w:rPr>
                <w:rFonts w:hint="eastAsia" w:ascii="宋体" w:hAnsi="宋体"/>
                <w:bCs/>
                <w:sz w:val="24"/>
              </w:rPr>
              <w:t>答疑</w:t>
            </w:r>
          </w:p>
        </w:tc>
        <w:tc>
          <w:tcPr>
            <w:tcW w:w="6090" w:type="dxa"/>
            <w:noWrap w:val="0"/>
            <w:vAlign w:val="center"/>
          </w:tcPr>
          <w:p>
            <w:pPr>
              <w:spacing w:line="500" w:lineRule="exact"/>
              <w:rPr>
                <w:rFonts w:hint="eastAsia" w:ascii="宋体" w:hAnsi="宋体"/>
                <w:bCs/>
                <w:sz w:val="24"/>
              </w:rPr>
            </w:pPr>
            <w:r>
              <w:rPr>
                <w:rFonts w:hint="eastAsia" w:ascii="宋体" w:hAnsi="宋体"/>
                <w:sz w:val="24"/>
              </w:rPr>
              <w:t>投标截止日前10天由潜在投标人向招标人提出咨询，答疑。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13</w:t>
            </w:r>
          </w:p>
        </w:tc>
        <w:tc>
          <w:tcPr>
            <w:tcW w:w="2389" w:type="dxa"/>
            <w:noWrap w:val="0"/>
            <w:vAlign w:val="center"/>
          </w:tcPr>
          <w:p>
            <w:pPr>
              <w:spacing w:line="500" w:lineRule="exact"/>
              <w:jc w:val="center"/>
              <w:rPr>
                <w:rFonts w:hint="eastAsia" w:ascii="宋体" w:hAnsi="宋体"/>
                <w:bCs/>
                <w:sz w:val="24"/>
              </w:rPr>
            </w:pPr>
            <w:r>
              <w:rPr>
                <w:rFonts w:hint="eastAsia" w:ascii="宋体" w:hAnsi="宋体"/>
                <w:bCs/>
                <w:sz w:val="24"/>
              </w:rPr>
              <w:t>勘察现场</w:t>
            </w:r>
          </w:p>
        </w:tc>
        <w:tc>
          <w:tcPr>
            <w:tcW w:w="6090" w:type="dxa"/>
            <w:noWrap w:val="0"/>
            <w:vAlign w:val="center"/>
          </w:tcPr>
          <w:p>
            <w:pPr>
              <w:spacing w:line="500" w:lineRule="exact"/>
              <w:rPr>
                <w:rFonts w:hint="eastAsia" w:ascii="宋体" w:hAnsi="宋体"/>
                <w:bCs/>
                <w:sz w:val="24"/>
              </w:rPr>
            </w:pPr>
            <w:r>
              <w:rPr>
                <w:rFonts w:hint="eastAsia"/>
                <w:b/>
                <w:bCs/>
                <w:sz w:val="24"/>
              </w:rPr>
              <w:sym w:font="Wingdings" w:char="F0FE"/>
            </w:r>
            <w:r>
              <w:rPr>
                <w:rFonts w:hint="eastAsia" w:ascii="宋体" w:hAnsi="宋体"/>
                <w:bCs/>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14</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标书份数及要求</w:t>
            </w:r>
          </w:p>
        </w:tc>
        <w:tc>
          <w:tcPr>
            <w:tcW w:w="6090" w:type="dxa"/>
            <w:noWrap w:val="0"/>
            <w:vAlign w:val="center"/>
          </w:tcPr>
          <w:p>
            <w:pPr>
              <w:spacing w:line="500" w:lineRule="exact"/>
              <w:rPr>
                <w:rFonts w:hint="eastAsia" w:ascii="宋体" w:hAnsi="宋体"/>
                <w:bCs/>
                <w:sz w:val="24"/>
              </w:rPr>
            </w:pPr>
            <w:r>
              <w:rPr>
                <w:rFonts w:hint="eastAsia" w:ascii="宋体" w:hAnsi="宋体"/>
                <w:bCs/>
                <w:sz w:val="24"/>
              </w:rPr>
              <w:t>1、技术标正本1</w:t>
            </w:r>
            <w:r>
              <w:rPr>
                <w:rFonts w:ascii="宋体" w:hAnsi="宋体"/>
                <w:bCs/>
                <w:sz w:val="24"/>
              </w:rPr>
              <w:t xml:space="preserve"> </w:t>
            </w:r>
            <w:r>
              <w:rPr>
                <w:rFonts w:hint="eastAsia" w:ascii="宋体" w:hAnsi="宋体"/>
                <w:bCs/>
                <w:sz w:val="24"/>
              </w:rPr>
              <w:t>份，副本4份；</w:t>
            </w:r>
          </w:p>
          <w:p>
            <w:pPr>
              <w:spacing w:line="500" w:lineRule="exact"/>
              <w:rPr>
                <w:rFonts w:hint="eastAsia" w:ascii="宋体" w:hAnsi="宋体"/>
                <w:bCs/>
                <w:sz w:val="24"/>
              </w:rPr>
            </w:pPr>
            <w:r>
              <w:rPr>
                <w:rFonts w:hint="eastAsia" w:ascii="宋体" w:hAnsi="宋体"/>
                <w:bCs/>
                <w:sz w:val="24"/>
              </w:rPr>
              <w:t>2、商务标正本1份，副本4份；</w:t>
            </w:r>
          </w:p>
          <w:p>
            <w:pPr>
              <w:spacing w:line="500" w:lineRule="exact"/>
              <w:rPr>
                <w:rFonts w:hint="eastAsia" w:ascii="宋体" w:hAnsi="宋体"/>
                <w:bCs/>
                <w:sz w:val="24"/>
              </w:rPr>
            </w:pPr>
            <w:r>
              <w:rPr>
                <w:rFonts w:hint="eastAsia" w:eastAsia="新宋体"/>
                <w:sz w:val="24"/>
              </w:rPr>
              <w:t>3、电子文件1份（U盘）。</w:t>
            </w:r>
          </w:p>
          <w:p>
            <w:pPr>
              <w:spacing w:line="500" w:lineRule="exact"/>
              <w:rPr>
                <w:rFonts w:hint="eastAsia" w:ascii="宋体" w:hAnsi="宋体"/>
                <w:b/>
                <w:bCs/>
                <w:sz w:val="24"/>
              </w:rPr>
            </w:pPr>
            <w:r>
              <w:rPr>
                <w:rFonts w:hint="eastAsia" w:ascii="宋体" w:hAnsi="宋体"/>
                <w:b/>
                <w:bCs/>
                <w:sz w:val="24"/>
              </w:rPr>
              <w:t>技术标、商务标必须分别封装,密封提交。</w:t>
            </w:r>
          </w:p>
          <w:p>
            <w:pPr>
              <w:spacing w:line="500" w:lineRule="exact"/>
              <w:rPr>
                <w:rFonts w:hint="eastAsia" w:ascii="宋体" w:hAnsi="宋体"/>
                <w:bCs/>
                <w:sz w:val="24"/>
              </w:rPr>
            </w:pPr>
            <w:r>
              <w:rPr>
                <w:rFonts w:hint="eastAsia" w:ascii="宋体" w:hAnsi="宋体"/>
                <w:bCs/>
                <w:sz w:val="24"/>
              </w:rPr>
              <w:t>投标文件的格式及签署要求详见招标文件第二部分第五章投标人须知</w:t>
            </w:r>
          </w:p>
          <w:p>
            <w:pPr>
              <w:spacing w:line="500" w:lineRule="exact"/>
              <w:rPr>
                <w:rFonts w:hint="eastAsia" w:ascii="宋体" w:hAnsi="宋体"/>
                <w:b/>
                <w:sz w:val="24"/>
              </w:rPr>
            </w:pPr>
            <w:r>
              <w:rPr>
                <w:rFonts w:hint="eastAsia" w:ascii="宋体" w:hAnsi="宋体"/>
                <w:b/>
                <w:bCs/>
                <w:sz w:val="24"/>
              </w:rPr>
              <w:t>为方便开标唱标，投标人应将《投标一览表》、电子文件一齐密封提交，并在信封上标明“《投标一览表》+电子版本”字样。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15</w:t>
            </w:r>
          </w:p>
        </w:tc>
        <w:tc>
          <w:tcPr>
            <w:tcW w:w="2389" w:type="dxa"/>
            <w:noWrap w:val="0"/>
            <w:vAlign w:val="center"/>
          </w:tcPr>
          <w:p>
            <w:pPr>
              <w:spacing w:line="500" w:lineRule="exact"/>
              <w:ind w:left="841" w:hanging="841"/>
              <w:jc w:val="center"/>
              <w:rPr>
                <w:rFonts w:hint="eastAsia" w:ascii="宋体" w:hAnsi="宋体"/>
                <w:sz w:val="24"/>
              </w:rPr>
            </w:pPr>
            <w:r>
              <w:rPr>
                <w:rFonts w:hint="eastAsia" w:ascii="宋体" w:hAnsi="宋体"/>
                <w:sz w:val="24"/>
              </w:rPr>
              <w:t>投标时间及地点</w:t>
            </w:r>
          </w:p>
        </w:tc>
        <w:tc>
          <w:tcPr>
            <w:tcW w:w="6090" w:type="dxa"/>
            <w:noWrap w:val="0"/>
            <w:vAlign w:val="center"/>
          </w:tcPr>
          <w:p>
            <w:pPr>
              <w:spacing w:line="500" w:lineRule="exact"/>
              <w:rPr>
                <w:rFonts w:hint="eastAsia" w:ascii="宋体" w:hAnsi="宋体"/>
                <w:sz w:val="24"/>
                <w:highlight w:val="none"/>
                <w:lang w:val="zh-CN"/>
              </w:rPr>
            </w:pPr>
            <w:r>
              <w:rPr>
                <w:rFonts w:hint="eastAsia" w:ascii="宋体" w:hAnsi="宋体"/>
                <w:sz w:val="24"/>
                <w:highlight w:val="none"/>
              </w:rPr>
              <w:t>投标截止时间：</w:t>
            </w:r>
            <w:r>
              <w:rPr>
                <w:rFonts w:hint="eastAsia" w:ascii="宋体" w:hAnsi="宋体"/>
                <w:bCs/>
                <w:color w:val="000000"/>
                <w:sz w:val="24"/>
                <w:szCs w:val="18"/>
                <w:highlight w:val="none"/>
                <w:lang w:val="en-US" w:eastAsia="zh-CN"/>
              </w:rPr>
              <w:t>2022</w:t>
            </w:r>
            <w:r>
              <w:rPr>
                <w:rFonts w:hint="eastAsia" w:ascii="宋体" w:hAnsi="宋体"/>
                <w:bCs/>
                <w:color w:val="000000"/>
                <w:sz w:val="24"/>
                <w:szCs w:val="18"/>
                <w:highlight w:val="none"/>
              </w:rPr>
              <w:t>年</w:t>
            </w:r>
            <w:r>
              <w:rPr>
                <w:rFonts w:hint="eastAsia" w:ascii="宋体" w:hAnsi="宋体"/>
                <w:bCs/>
                <w:color w:val="000000"/>
                <w:sz w:val="24"/>
                <w:szCs w:val="18"/>
                <w:highlight w:val="none"/>
                <w:lang w:val="en-US" w:eastAsia="zh-CN"/>
              </w:rPr>
              <w:t>8</w:t>
            </w:r>
            <w:r>
              <w:rPr>
                <w:rFonts w:hint="eastAsia" w:ascii="宋体" w:hAnsi="宋体"/>
                <w:bCs/>
                <w:color w:val="000000"/>
                <w:sz w:val="24"/>
                <w:szCs w:val="18"/>
                <w:highlight w:val="none"/>
              </w:rPr>
              <w:t>月</w:t>
            </w:r>
            <w:r>
              <w:rPr>
                <w:rFonts w:hint="eastAsia" w:ascii="宋体" w:hAnsi="宋体"/>
                <w:bCs/>
                <w:color w:val="000000"/>
                <w:sz w:val="24"/>
                <w:szCs w:val="18"/>
                <w:highlight w:val="none"/>
                <w:lang w:val="en-US" w:eastAsia="zh-CN"/>
              </w:rPr>
              <w:t>11</w:t>
            </w:r>
            <w:bookmarkStart w:id="58" w:name="_GoBack"/>
            <w:bookmarkEnd w:id="58"/>
            <w:r>
              <w:rPr>
                <w:rFonts w:hint="eastAsia" w:ascii="宋体" w:hAnsi="宋体"/>
                <w:bCs/>
                <w:color w:val="000000"/>
                <w:sz w:val="24"/>
                <w:szCs w:val="18"/>
                <w:highlight w:val="none"/>
              </w:rPr>
              <w:t>日</w:t>
            </w:r>
            <w:r>
              <w:rPr>
                <w:rFonts w:hint="eastAsia" w:ascii="宋体" w:hAnsi="宋体"/>
                <w:bCs/>
                <w:color w:val="000000"/>
                <w:sz w:val="24"/>
                <w:szCs w:val="18"/>
                <w:highlight w:val="none"/>
                <w:lang w:val="en-US" w:eastAsia="zh-CN"/>
              </w:rPr>
              <w:t>9:00止</w:t>
            </w:r>
          </w:p>
          <w:p>
            <w:pPr>
              <w:spacing w:line="500" w:lineRule="exact"/>
              <w:rPr>
                <w:rFonts w:hint="eastAsia" w:ascii="宋体" w:hAnsi="宋体"/>
                <w:sz w:val="24"/>
                <w:lang w:val="zh-CN"/>
              </w:rPr>
            </w:pPr>
            <w:r>
              <w:rPr>
                <w:rFonts w:hint="eastAsia" w:ascii="宋体" w:hAnsi="宋体"/>
                <w:sz w:val="24"/>
              </w:rPr>
              <w:t>标书递交地点：</w:t>
            </w:r>
            <w:r>
              <w:rPr>
                <w:rFonts w:hint="eastAsia" w:ascii="宋体" w:hAnsi="宋体"/>
                <w:sz w:val="24"/>
                <w:highlight w:val="none"/>
                <w:lang w:eastAsia="zh-CN"/>
              </w:rPr>
              <w:t>国翠公馆会议室</w:t>
            </w:r>
            <w:r>
              <w:rPr>
                <w:rFonts w:hint="eastAsia" w:ascii="宋体" w:hAnsi="宋体"/>
                <w:bCs/>
                <w:sz w:val="24"/>
                <w:szCs w:val="18"/>
                <w:highlight w:val="none"/>
              </w:rPr>
              <w:t xml:space="preserve"> </w:t>
            </w:r>
          </w:p>
          <w:p>
            <w:pPr>
              <w:spacing w:line="500" w:lineRule="exact"/>
              <w:rPr>
                <w:rFonts w:hint="eastAsia" w:ascii="宋体" w:hAnsi="宋体"/>
                <w:bCs/>
                <w:sz w:val="24"/>
              </w:rPr>
            </w:pPr>
            <w:r>
              <w:rPr>
                <w:rFonts w:hint="eastAsia" w:ascii="宋体" w:hAnsi="宋体"/>
                <w:sz w:val="24"/>
              </w:rPr>
              <w:t>投标文件接收时间：自投标截止时间前30分钟至投标截止时间止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16</w:t>
            </w:r>
          </w:p>
        </w:tc>
        <w:tc>
          <w:tcPr>
            <w:tcW w:w="2389" w:type="dxa"/>
            <w:noWrap w:val="0"/>
            <w:vAlign w:val="center"/>
          </w:tcPr>
          <w:p>
            <w:pPr>
              <w:spacing w:line="500" w:lineRule="exact"/>
              <w:jc w:val="center"/>
              <w:rPr>
                <w:rFonts w:hint="eastAsia" w:ascii="宋体" w:hAnsi="宋体"/>
                <w:bCs/>
                <w:sz w:val="24"/>
              </w:rPr>
            </w:pPr>
            <w:r>
              <w:rPr>
                <w:rFonts w:hint="eastAsia" w:ascii="宋体" w:hAnsi="宋体"/>
                <w:sz w:val="24"/>
              </w:rPr>
              <w:t>开标时间及地点</w:t>
            </w:r>
          </w:p>
        </w:tc>
        <w:tc>
          <w:tcPr>
            <w:tcW w:w="6090" w:type="dxa"/>
            <w:noWrap w:val="0"/>
            <w:vAlign w:val="center"/>
          </w:tcPr>
          <w:p>
            <w:pPr>
              <w:spacing w:line="500" w:lineRule="exact"/>
              <w:rPr>
                <w:rFonts w:hint="default" w:ascii="宋体" w:hAnsi="宋体" w:eastAsia="宋体"/>
                <w:bCs/>
                <w:sz w:val="24"/>
                <w:highlight w:val="none"/>
                <w:u w:val="single"/>
                <w:lang w:val="en-US" w:eastAsia="zh-CN"/>
              </w:rPr>
            </w:pPr>
            <w:r>
              <w:rPr>
                <w:rFonts w:hint="eastAsia" w:ascii="宋体" w:hAnsi="宋体"/>
                <w:sz w:val="24"/>
                <w:highlight w:val="none"/>
              </w:rPr>
              <w:t>开标时间：</w:t>
            </w:r>
            <w:r>
              <w:rPr>
                <w:rFonts w:hint="eastAsia" w:ascii="宋体" w:hAnsi="宋体"/>
                <w:bCs/>
                <w:color w:val="000000"/>
                <w:sz w:val="24"/>
                <w:szCs w:val="18"/>
                <w:highlight w:val="none"/>
                <w:lang w:val="en-US" w:eastAsia="zh-CN"/>
              </w:rPr>
              <w:t>2022</w:t>
            </w:r>
            <w:r>
              <w:rPr>
                <w:rFonts w:hint="eastAsia" w:ascii="宋体" w:hAnsi="宋体"/>
                <w:bCs/>
                <w:color w:val="000000"/>
                <w:sz w:val="24"/>
                <w:szCs w:val="18"/>
                <w:highlight w:val="none"/>
              </w:rPr>
              <w:t>年</w:t>
            </w:r>
            <w:r>
              <w:rPr>
                <w:rFonts w:hint="eastAsia" w:ascii="宋体" w:hAnsi="宋体"/>
                <w:bCs/>
                <w:color w:val="000000"/>
                <w:sz w:val="24"/>
                <w:szCs w:val="18"/>
                <w:highlight w:val="none"/>
                <w:lang w:val="en-US" w:eastAsia="zh-CN"/>
              </w:rPr>
              <w:t>8</w:t>
            </w:r>
            <w:r>
              <w:rPr>
                <w:rFonts w:hint="eastAsia" w:ascii="宋体" w:hAnsi="宋体"/>
                <w:bCs/>
                <w:color w:val="000000"/>
                <w:sz w:val="24"/>
                <w:szCs w:val="18"/>
                <w:highlight w:val="none"/>
              </w:rPr>
              <w:t>月</w:t>
            </w:r>
            <w:r>
              <w:rPr>
                <w:rFonts w:hint="eastAsia" w:ascii="宋体" w:hAnsi="宋体"/>
                <w:bCs/>
                <w:color w:val="000000"/>
                <w:sz w:val="24"/>
                <w:szCs w:val="18"/>
                <w:highlight w:val="none"/>
                <w:lang w:val="en-US" w:eastAsia="zh-CN"/>
              </w:rPr>
              <w:t>11</w:t>
            </w:r>
            <w:r>
              <w:rPr>
                <w:rFonts w:hint="eastAsia" w:ascii="宋体" w:hAnsi="宋体"/>
                <w:bCs/>
                <w:color w:val="000000"/>
                <w:sz w:val="24"/>
                <w:szCs w:val="18"/>
                <w:highlight w:val="none"/>
              </w:rPr>
              <w:t>日</w:t>
            </w:r>
            <w:r>
              <w:rPr>
                <w:rFonts w:hint="eastAsia" w:ascii="宋体" w:hAnsi="宋体"/>
                <w:bCs/>
                <w:color w:val="000000"/>
                <w:sz w:val="24"/>
                <w:szCs w:val="18"/>
                <w:highlight w:val="none"/>
                <w:lang w:val="en-US" w:eastAsia="zh-CN"/>
              </w:rPr>
              <w:t>9:00</w:t>
            </w:r>
            <w:r>
              <w:rPr>
                <w:rFonts w:hint="eastAsia" w:ascii="宋体" w:hAnsi="宋体"/>
                <w:sz w:val="24"/>
                <w:highlight w:val="none"/>
              </w:rPr>
              <w:t xml:space="preserve"> </w:t>
            </w:r>
            <w:r>
              <w:rPr>
                <w:rFonts w:hint="eastAsia" w:ascii="宋体" w:hAnsi="宋体"/>
                <w:sz w:val="24"/>
                <w:highlight w:val="none"/>
                <w:lang w:val="en-US" w:eastAsia="zh-CN"/>
              </w:rPr>
              <w:t xml:space="preserve">  </w:t>
            </w:r>
          </w:p>
          <w:p>
            <w:pPr>
              <w:spacing w:line="500" w:lineRule="exact"/>
              <w:rPr>
                <w:rFonts w:ascii="宋体" w:hAnsi="宋体"/>
                <w:sz w:val="24"/>
              </w:rPr>
            </w:pPr>
            <w:r>
              <w:rPr>
                <w:rFonts w:hint="eastAsia" w:ascii="宋体" w:hAnsi="宋体"/>
                <w:sz w:val="24"/>
                <w:highlight w:val="none"/>
              </w:rPr>
              <w:t>开标地点：</w:t>
            </w:r>
            <w:r>
              <w:rPr>
                <w:rFonts w:hint="eastAsia" w:ascii="宋体" w:hAnsi="宋体"/>
                <w:sz w:val="24"/>
                <w:highlight w:val="none"/>
                <w:lang w:eastAsia="zh-CN"/>
              </w:rPr>
              <w:t>国翠公馆会议室</w:t>
            </w:r>
            <w:r>
              <w:rPr>
                <w:rFonts w:hint="eastAsia" w:ascii="宋体" w:hAnsi="宋体"/>
                <w:bCs/>
                <w:sz w:val="24"/>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17</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评标办法</w:t>
            </w:r>
          </w:p>
        </w:tc>
        <w:tc>
          <w:tcPr>
            <w:tcW w:w="6090" w:type="dxa"/>
            <w:noWrap w:val="0"/>
            <w:vAlign w:val="center"/>
          </w:tcPr>
          <w:p>
            <w:pPr>
              <w:spacing w:line="500" w:lineRule="exact"/>
              <w:rPr>
                <w:rFonts w:hint="eastAsia" w:ascii="宋体" w:hAnsi="宋体"/>
                <w:sz w:val="24"/>
              </w:rPr>
            </w:pPr>
            <w:r>
              <w:rPr>
                <w:rFonts w:hint="eastAsia" w:ascii="宋体" w:hAnsi="宋体"/>
                <w:sz w:val="24"/>
              </w:rPr>
              <w:t>综合评分法，</w:t>
            </w:r>
            <w:r>
              <w:rPr>
                <w:rFonts w:hint="eastAsia" w:ascii="宋体" w:hAnsi="宋体"/>
                <w:bCs/>
                <w:sz w:val="24"/>
              </w:rPr>
              <w:t>详见</w:t>
            </w:r>
            <w:r>
              <w:rPr>
                <w:rFonts w:hint="eastAsia" w:ascii="宋体" w:hAnsi="宋体"/>
                <w:sz w:val="24"/>
              </w:rPr>
              <w:t>招标文件第一部分</w:t>
            </w:r>
            <w:r>
              <w:rPr>
                <w:rFonts w:hint="eastAsia" w:ascii="宋体" w:hAnsi="宋体"/>
                <w:bCs/>
                <w:sz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6" w:type="dxa"/>
            <w:noWrap w:val="0"/>
            <w:vAlign w:val="center"/>
          </w:tcPr>
          <w:p>
            <w:pPr>
              <w:spacing w:line="500" w:lineRule="exact"/>
              <w:jc w:val="center"/>
              <w:rPr>
                <w:rFonts w:ascii="宋体" w:hAnsi="宋体"/>
                <w:sz w:val="24"/>
              </w:rPr>
            </w:pPr>
            <w:r>
              <w:rPr>
                <w:rFonts w:hint="eastAsia" w:ascii="宋体" w:hAnsi="宋体"/>
                <w:sz w:val="24"/>
              </w:rPr>
              <w:t>18</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本项目提供除电子版招标文件以外的其他资料</w:t>
            </w:r>
          </w:p>
        </w:tc>
        <w:tc>
          <w:tcPr>
            <w:tcW w:w="6090" w:type="dxa"/>
            <w:noWrap w:val="0"/>
            <w:vAlign w:val="center"/>
          </w:tcPr>
          <w:p>
            <w:pPr>
              <w:spacing w:line="500" w:lineRule="exact"/>
              <w:rPr>
                <w:rFonts w:hint="eastAsia" w:ascii="宋体" w:hAnsi="宋体"/>
                <w:b/>
                <w:sz w:val="24"/>
                <w:u w:val="single"/>
              </w:rPr>
            </w:pPr>
            <w:r>
              <w:rPr>
                <w:rFonts w:hint="eastAsia" w:ascii="宋体" w:hAnsi="宋体"/>
                <w:b/>
                <w:sz w:val="24"/>
              </w:rPr>
              <w:sym w:font="Wingdings" w:char="F0FE"/>
            </w:r>
            <w:r>
              <w:rPr>
                <w:rFonts w:hint="eastAsia" w:ascii="宋体" w:hAnsi="宋体"/>
                <w:b/>
                <w:sz w:val="24"/>
              </w:rPr>
              <w:t xml:space="preserve">无   □图纸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6" w:type="dxa"/>
            <w:noWrap w:val="0"/>
            <w:vAlign w:val="center"/>
          </w:tcPr>
          <w:p>
            <w:pPr>
              <w:spacing w:line="500" w:lineRule="exact"/>
              <w:jc w:val="center"/>
              <w:rPr>
                <w:rFonts w:ascii="宋体" w:hAnsi="宋体"/>
                <w:sz w:val="24"/>
              </w:rPr>
            </w:pPr>
            <w:r>
              <w:rPr>
                <w:rFonts w:hint="eastAsia" w:ascii="宋体" w:hAnsi="宋体"/>
                <w:sz w:val="24"/>
              </w:rPr>
              <w:t>19</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其他</w:t>
            </w:r>
          </w:p>
        </w:tc>
        <w:tc>
          <w:tcPr>
            <w:tcW w:w="6090" w:type="dxa"/>
            <w:noWrap w:val="0"/>
            <w:vAlign w:val="center"/>
          </w:tcPr>
          <w:p>
            <w:pPr>
              <w:spacing w:line="500" w:lineRule="exact"/>
              <w:rPr>
                <w:rFonts w:ascii="宋体" w:hAnsi="宋体"/>
                <w:bCs/>
                <w:sz w:val="24"/>
                <w:szCs w:val="24"/>
              </w:rPr>
            </w:pPr>
            <w:r>
              <w:rPr>
                <w:rFonts w:hint="eastAsia" w:ascii="宋体" w:hAnsi="宋体"/>
                <w:bCs/>
                <w:sz w:val="24"/>
                <w:szCs w:val="24"/>
              </w:rPr>
              <w:t>1、无论何种原因，即使投标人开标时携带了证书材料的原件，但在投标文件中未提供与之内容完全一致的复印件或影印件的，评标委员会可以视同其未提供。</w:t>
            </w:r>
          </w:p>
          <w:p>
            <w:pPr>
              <w:spacing w:line="500" w:lineRule="exact"/>
              <w:rPr>
                <w:rFonts w:hint="eastAsia" w:ascii="宋体" w:hAnsi="宋体"/>
                <w:bCs/>
                <w:sz w:val="24"/>
                <w:szCs w:val="24"/>
              </w:rPr>
            </w:pPr>
            <w:r>
              <w:rPr>
                <w:rFonts w:hint="eastAsia" w:ascii="宋体" w:hAnsi="宋体"/>
                <w:bCs/>
                <w:sz w:val="24"/>
                <w:szCs w:val="24"/>
              </w:rPr>
              <w:t>2、所提供的业绩合同中不能明确反映出招标文件所要求的内容的（如合同总金额、面积等），应另附业主证明材料予以明确说明，否则评标委员会可不予认可。</w:t>
            </w:r>
          </w:p>
          <w:p>
            <w:pPr>
              <w:spacing w:line="500" w:lineRule="exact"/>
              <w:rPr>
                <w:rFonts w:hint="eastAsia" w:ascii="宋体" w:hAnsi="宋体"/>
                <w:b/>
                <w:bCs/>
                <w:sz w:val="24"/>
                <w:szCs w:val="24"/>
              </w:rPr>
            </w:pPr>
            <w:r>
              <w:rPr>
                <w:rFonts w:hint="eastAsia" w:ascii="宋体" w:hAnsi="宋体"/>
                <w:bCs/>
                <w:sz w:val="24"/>
                <w:szCs w:val="24"/>
              </w:rPr>
              <w:t>3、本项目将对排名第一的中标候选供应商经评标委员会评审认可的投标人业绩（如项目名称、合同总金额等）进行公示。如涉嫌造假，将取消中标资格。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66" w:type="dxa"/>
            <w:noWrap w:val="0"/>
            <w:vAlign w:val="center"/>
          </w:tcPr>
          <w:p>
            <w:pPr>
              <w:spacing w:line="500" w:lineRule="exact"/>
              <w:jc w:val="center"/>
              <w:rPr>
                <w:rFonts w:hint="eastAsia" w:ascii="宋体" w:hAnsi="宋体"/>
                <w:sz w:val="24"/>
              </w:rPr>
            </w:pPr>
            <w:r>
              <w:rPr>
                <w:rFonts w:hint="eastAsia" w:ascii="宋体" w:hAnsi="宋体"/>
                <w:sz w:val="24"/>
              </w:rPr>
              <w:t>22</w:t>
            </w:r>
          </w:p>
        </w:tc>
        <w:tc>
          <w:tcPr>
            <w:tcW w:w="2389" w:type="dxa"/>
            <w:noWrap w:val="0"/>
            <w:vAlign w:val="center"/>
          </w:tcPr>
          <w:p>
            <w:pPr>
              <w:spacing w:line="500" w:lineRule="exact"/>
              <w:jc w:val="center"/>
              <w:rPr>
                <w:rFonts w:hint="eastAsia" w:ascii="宋体" w:hAnsi="宋体"/>
                <w:sz w:val="24"/>
              </w:rPr>
            </w:pPr>
            <w:r>
              <w:rPr>
                <w:rFonts w:hint="eastAsia" w:ascii="宋体" w:hAnsi="宋体"/>
                <w:sz w:val="24"/>
              </w:rPr>
              <w:t>项目概算</w:t>
            </w:r>
          </w:p>
        </w:tc>
        <w:tc>
          <w:tcPr>
            <w:tcW w:w="6090" w:type="dxa"/>
            <w:noWrap w:val="0"/>
            <w:vAlign w:val="center"/>
          </w:tcPr>
          <w:p>
            <w:pPr>
              <w:spacing w:line="500" w:lineRule="exact"/>
              <w:rPr>
                <w:rFonts w:hint="eastAsia" w:ascii="宋体" w:hAnsi="宋体"/>
                <w:bCs/>
                <w:sz w:val="24"/>
                <w:szCs w:val="24"/>
              </w:rPr>
            </w:pPr>
            <w:r>
              <w:rPr>
                <w:rFonts w:hint="eastAsia" w:ascii="宋体" w:hAnsi="宋体"/>
                <w:bCs/>
                <w:sz w:val="24"/>
                <w:szCs w:val="24"/>
              </w:rPr>
              <w:t>本项目设项目概算（即为最高投标限价）为</w:t>
            </w:r>
            <w:r>
              <w:rPr>
                <w:rFonts w:hint="eastAsia" w:ascii="宋体" w:hAnsi="宋体"/>
                <w:b w:val="0"/>
                <w:bCs/>
                <w:sz w:val="24"/>
                <w:szCs w:val="24"/>
                <w:highlight w:val="none"/>
              </w:rPr>
              <w:t>人民币</w:t>
            </w:r>
            <w:r>
              <w:rPr>
                <w:rFonts w:hint="eastAsia" w:ascii="宋体" w:hAnsi="宋体"/>
                <w:b w:val="0"/>
                <w:bCs/>
                <w:sz w:val="24"/>
                <w:szCs w:val="24"/>
                <w:highlight w:val="none"/>
                <w:lang w:val="en-US" w:eastAsia="zh-CN"/>
              </w:rPr>
              <w:t>220</w:t>
            </w:r>
            <w:r>
              <w:rPr>
                <w:rFonts w:hint="eastAsia" w:ascii="宋体" w:hAnsi="宋体"/>
                <w:b w:val="0"/>
                <w:bCs/>
                <w:sz w:val="24"/>
                <w:szCs w:val="24"/>
                <w:highlight w:val="none"/>
              </w:rPr>
              <w:t>万元</w:t>
            </w:r>
            <w:r>
              <w:rPr>
                <w:rFonts w:hint="eastAsia" w:ascii="宋体" w:hAnsi="宋体"/>
                <w:b w:val="0"/>
                <w:bCs/>
                <w:sz w:val="24"/>
                <w:szCs w:val="24"/>
                <w:highlight w:val="none"/>
                <w:lang w:val="en-US" w:eastAsia="zh-CN"/>
              </w:rPr>
              <w:t>/年</w:t>
            </w:r>
            <w:r>
              <w:rPr>
                <w:rFonts w:hint="eastAsia" w:ascii="宋体" w:hAnsi="宋体"/>
                <w:b w:val="0"/>
                <w:bCs/>
                <w:sz w:val="24"/>
                <w:szCs w:val="24"/>
                <w:highlight w:val="none"/>
              </w:rPr>
              <w:t>。超出此限价的投标将被视为无效投标，其</w:t>
            </w:r>
            <w:r>
              <w:rPr>
                <w:rFonts w:hint="eastAsia" w:ascii="宋体" w:hAnsi="宋体"/>
                <w:bCs/>
                <w:sz w:val="24"/>
                <w:szCs w:val="24"/>
              </w:rPr>
              <w:t>投标文件不进入评审程序。</w:t>
            </w:r>
          </w:p>
        </w:tc>
      </w:tr>
    </w:tbl>
    <w:p>
      <w:pPr>
        <w:pStyle w:val="4"/>
        <w:spacing w:line="500" w:lineRule="exact"/>
        <w:ind w:firstLine="0"/>
        <w:rPr>
          <w:rFonts w:ascii="宋体" w:hAnsi="宋体" w:eastAsia="宋体"/>
        </w:rPr>
        <w:sectPr>
          <w:pgSz w:w="11907" w:h="16840"/>
          <w:pgMar w:top="1440" w:right="1247" w:bottom="1440" w:left="1247" w:header="851" w:footer="992" w:gutter="0"/>
          <w:cols w:space="720" w:num="1"/>
          <w:docGrid w:linePitch="303" w:charSpace="0"/>
        </w:sectPr>
      </w:pPr>
      <w:bookmarkStart w:id="7" w:name="_Hlt519045778"/>
      <w:bookmarkEnd w:id="7"/>
      <w:bookmarkStart w:id="8" w:name="_Hlt509650351"/>
      <w:bookmarkEnd w:id="8"/>
      <w:bookmarkStart w:id="9" w:name="_Hlt509650027"/>
      <w:bookmarkEnd w:id="9"/>
      <w:bookmarkStart w:id="10" w:name="_Hlt516969057"/>
      <w:bookmarkEnd w:id="10"/>
      <w:bookmarkStart w:id="11" w:name="_Toc220232390"/>
    </w:p>
    <w:p>
      <w:pPr>
        <w:pStyle w:val="4"/>
        <w:spacing w:line="500" w:lineRule="exact"/>
        <w:ind w:firstLine="0"/>
        <w:rPr>
          <w:rFonts w:hint="eastAsia" w:ascii="宋体" w:hAnsi="宋体" w:eastAsia="宋体"/>
        </w:rPr>
      </w:pPr>
      <w:bookmarkStart w:id="12" w:name="_Toc504073349"/>
      <w:r>
        <w:rPr>
          <w:rFonts w:hint="eastAsia" w:ascii="宋体" w:hAnsi="宋体" w:eastAsia="宋体"/>
        </w:rPr>
        <w:t xml:space="preserve">第三章 </w:t>
      </w:r>
      <w:bookmarkEnd w:id="11"/>
      <w:r>
        <w:rPr>
          <w:rFonts w:hint="eastAsia" w:ascii="宋体" w:hAnsi="宋体" w:eastAsia="宋体"/>
          <w:szCs w:val="36"/>
        </w:rPr>
        <w:t>招标需求</w:t>
      </w:r>
      <w:bookmarkEnd w:id="12"/>
    </w:p>
    <w:p>
      <w:pPr>
        <w:spacing w:line="360" w:lineRule="auto"/>
        <w:ind w:firstLine="480" w:firstLineChars="200"/>
        <w:rPr>
          <w:rFonts w:hint="eastAsia" w:ascii="宋体" w:hAnsi="宋体" w:cs="宋体"/>
          <w:b/>
          <w:sz w:val="24"/>
          <w:szCs w:val="24"/>
        </w:rPr>
      </w:pPr>
      <w:bookmarkStart w:id="13" w:name="_Hlt509716920"/>
      <w:bookmarkEnd w:id="13"/>
      <w:r>
        <w:rPr>
          <w:rFonts w:hint="eastAsia" w:ascii="宋体" w:hAnsi="宋体"/>
          <w:sz w:val="24"/>
          <w:szCs w:val="28"/>
        </w:rPr>
        <w:t>前注：如对本招标文件有任何疑问或澄清要求，请按本招标文件“投标人须知前附表”中的约定方式联系   有限公司，或接受答疑截止时间前联系招标人。否则视同理解和接受。</w:t>
      </w:r>
      <w:r>
        <w:rPr>
          <w:rFonts w:hint="eastAsia" w:ascii="宋体" w:hAnsi="宋体"/>
          <w:sz w:val="24"/>
          <w:szCs w:val="28"/>
        </w:rPr>
        <w:cr/>
      </w:r>
      <w:r>
        <w:rPr>
          <w:rFonts w:hint="eastAsia" w:ascii="宋体" w:hAnsi="宋体"/>
          <w:sz w:val="24"/>
          <w:szCs w:val="28"/>
        </w:rPr>
        <w:t xml:space="preserve">    </w:t>
      </w:r>
      <w:r>
        <w:rPr>
          <w:rFonts w:hint="eastAsia" w:ascii="宋体" w:hAnsi="宋体" w:cs="宋体"/>
          <w:b/>
          <w:sz w:val="24"/>
          <w:szCs w:val="24"/>
        </w:rPr>
        <w:t>一、项目概况</w:t>
      </w:r>
    </w:p>
    <w:p>
      <w:pPr>
        <w:autoSpaceDE w:val="0"/>
        <w:autoSpaceDN w:val="0"/>
        <w:adjustRightInd w:val="0"/>
        <w:spacing w:line="360" w:lineRule="auto"/>
        <w:ind w:firstLine="439" w:firstLineChars="183"/>
        <w:jc w:val="left"/>
        <w:rPr>
          <w:rFonts w:hint="eastAsia" w:ascii="宋体" w:hAnsi="宋体"/>
          <w:bCs/>
          <w:sz w:val="24"/>
          <w:szCs w:val="18"/>
        </w:rPr>
      </w:pPr>
      <w:r>
        <w:rPr>
          <w:rFonts w:hint="eastAsia" w:ascii="宋体" w:hAnsi="宋体"/>
          <w:bCs/>
          <w:sz w:val="24"/>
          <w:szCs w:val="18"/>
        </w:rPr>
        <w:t>“</w:t>
      </w:r>
      <w:r>
        <w:rPr>
          <w:rFonts w:hint="eastAsia" w:ascii="宋体" w:hAnsi="宋体"/>
          <w:sz w:val="24"/>
          <w:szCs w:val="24"/>
        </w:rPr>
        <w:t>桐城玉雕文化产业园</w:t>
      </w:r>
      <w:r>
        <w:rPr>
          <w:rFonts w:hint="eastAsia" w:ascii="宋体" w:hAnsi="宋体"/>
          <w:bCs/>
          <w:sz w:val="24"/>
          <w:szCs w:val="18"/>
        </w:rPr>
        <w:t>”</w:t>
      </w:r>
      <w:r>
        <w:rPr>
          <w:rFonts w:hint="eastAsia" w:ascii="宋体" w:hAnsi="宋体"/>
          <w:bCs/>
          <w:sz w:val="24"/>
          <w:szCs w:val="24"/>
        </w:rPr>
        <w:t>位于</w:t>
      </w:r>
      <w:r>
        <w:rPr>
          <w:rFonts w:hint="eastAsia" w:ascii="宋体" w:hAnsi="宋体"/>
          <w:bCs/>
          <w:sz w:val="24"/>
          <w:szCs w:val="18"/>
        </w:rPr>
        <w:t>桐城市经开区</w:t>
      </w:r>
      <w:r>
        <w:rPr>
          <w:rFonts w:hint="eastAsia" w:ascii="宋体" w:hAnsi="宋体"/>
          <w:bCs/>
          <w:sz w:val="24"/>
          <w:szCs w:val="18"/>
          <w:lang w:val="en-US" w:eastAsia="zh-CN"/>
        </w:rPr>
        <w:t>龙池路</w:t>
      </w:r>
      <w:r>
        <w:rPr>
          <w:rFonts w:hint="eastAsia" w:ascii="宋体" w:hAnsi="宋体"/>
          <w:bCs/>
          <w:sz w:val="24"/>
          <w:szCs w:val="18"/>
        </w:rPr>
        <w:t>与和平东路交叉口。本项目规划设计的物业类型为：住宅物业；</w:t>
      </w:r>
      <w:r>
        <w:rPr>
          <w:rFonts w:hint="eastAsia" w:ascii="宋体" w:hAnsi="宋体"/>
          <w:bCs/>
          <w:sz w:val="24"/>
          <w:szCs w:val="18"/>
          <w:lang w:val="en-US" w:eastAsia="zh-CN"/>
        </w:rPr>
        <w:t>一期</w:t>
      </w:r>
      <w:r>
        <w:rPr>
          <w:rFonts w:hint="eastAsia" w:ascii="宋体" w:hAnsi="宋体"/>
          <w:bCs/>
          <w:sz w:val="24"/>
          <w:szCs w:val="18"/>
        </w:rPr>
        <w:t>规划用地面积为</w:t>
      </w:r>
      <w:r>
        <w:rPr>
          <w:rFonts w:hint="eastAsia" w:ascii="宋体" w:hAnsi="宋体"/>
          <w:sz w:val="24"/>
          <w:szCs w:val="24"/>
          <w:lang w:val="en-US" w:eastAsia="zh-CN"/>
        </w:rPr>
        <w:t>46663.00</w:t>
      </w:r>
      <w:r>
        <w:rPr>
          <w:rFonts w:hint="eastAsia" w:ascii="宋体" w:hAnsi="宋体"/>
          <w:sz w:val="24"/>
          <w:szCs w:val="24"/>
        </w:rPr>
        <w:t>㎡</w:t>
      </w:r>
      <w:r>
        <w:rPr>
          <w:rFonts w:hint="eastAsia" w:ascii="宋体" w:hAnsi="宋体"/>
          <w:bCs/>
          <w:sz w:val="24"/>
          <w:szCs w:val="18"/>
        </w:rPr>
        <w:t>，总建筑面积为</w:t>
      </w:r>
      <w:r>
        <w:rPr>
          <w:rFonts w:hint="eastAsia" w:ascii="宋体" w:hAnsi="宋体"/>
          <w:bCs/>
          <w:sz w:val="24"/>
          <w:szCs w:val="18"/>
          <w:lang w:val="en-US" w:eastAsia="zh-CN"/>
        </w:rPr>
        <w:t>66361</w:t>
      </w:r>
      <w:r>
        <w:rPr>
          <w:rFonts w:hint="eastAsia" w:ascii="宋体" w:hAnsi="宋体"/>
          <w:bCs/>
          <w:sz w:val="24"/>
          <w:szCs w:val="18"/>
        </w:rPr>
        <w:t>.</w:t>
      </w:r>
      <w:r>
        <w:rPr>
          <w:rFonts w:hint="eastAsia" w:ascii="宋体" w:hAnsi="宋体"/>
          <w:bCs/>
          <w:sz w:val="24"/>
          <w:szCs w:val="18"/>
          <w:lang w:val="en-US" w:eastAsia="zh-CN"/>
        </w:rPr>
        <w:t>06</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rPr>
        <w:t>容积率为1.</w:t>
      </w:r>
      <w:r>
        <w:rPr>
          <w:rFonts w:hint="eastAsia" w:ascii="宋体" w:hAnsi="宋体"/>
          <w:bCs/>
          <w:sz w:val="24"/>
          <w:szCs w:val="18"/>
          <w:lang w:val="en-US" w:eastAsia="zh-CN"/>
        </w:rPr>
        <w:t>5</w:t>
      </w:r>
      <w:r>
        <w:rPr>
          <w:rFonts w:hint="eastAsia" w:ascii="宋体" w:hAnsi="宋体"/>
          <w:bCs/>
          <w:sz w:val="24"/>
          <w:szCs w:val="18"/>
        </w:rPr>
        <w:t>， 绿化率</w:t>
      </w:r>
      <w:r>
        <w:rPr>
          <w:rFonts w:hint="eastAsia" w:ascii="宋体" w:hAnsi="宋体"/>
          <w:bCs/>
          <w:sz w:val="24"/>
          <w:szCs w:val="18"/>
          <w:lang w:val="en-US" w:eastAsia="zh-CN"/>
        </w:rPr>
        <w:t>2</w:t>
      </w:r>
      <w:r>
        <w:rPr>
          <w:rFonts w:hint="eastAsia" w:ascii="宋体" w:hAnsi="宋体"/>
          <w:bCs/>
          <w:sz w:val="24"/>
          <w:szCs w:val="18"/>
        </w:rPr>
        <w:t>0.0</w:t>
      </w:r>
      <w:r>
        <w:rPr>
          <w:rFonts w:hint="eastAsia" w:ascii="宋体" w:hAnsi="宋体"/>
          <w:bCs/>
          <w:sz w:val="24"/>
          <w:szCs w:val="18"/>
          <w:lang w:val="en-US" w:eastAsia="zh-CN"/>
        </w:rPr>
        <w:t>0</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lang w:val="en-US" w:eastAsia="zh-CN"/>
        </w:rPr>
        <w:t>二期</w:t>
      </w:r>
      <w:r>
        <w:rPr>
          <w:rFonts w:hint="eastAsia" w:ascii="宋体" w:hAnsi="宋体"/>
          <w:bCs/>
          <w:sz w:val="24"/>
          <w:szCs w:val="18"/>
        </w:rPr>
        <w:t>规划用地面积为</w:t>
      </w:r>
      <w:r>
        <w:rPr>
          <w:rFonts w:hint="eastAsia" w:ascii="宋体" w:hAnsi="宋体"/>
          <w:sz w:val="24"/>
          <w:szCs w:val="24"/>
          <w:lang w:val="en-US" w:eastAsia="zh-CN"/>
        </w:rPr>
        <w:t>49495.80</w:t>
      </w:r>
      <w:r>
        <w:rPr>
          <w:rFonts w:hint="eastAsia" w:ascii="宋体" w:hAnsi="宋体"/>
          <w:sz w:val="24"/>
          <w:szCs w:val="24"/>
        </w:rPr>
        <w:t>㎡</w:t>
      </w:r>
      <w:r>
        <w:rPr>
          <w:rFonts w:hint="eastAsia" w:ascii="宋体" w:hAnsi="宋体"/>
          <w:bCs/>
          <w:sz w:val="24"/>
          <w:szCs w:val="18"/>
        </w:rPr>
        <w:t>，总建筑面积为</w:t>
      </w:r>
      <w:r>
        <w:rPr>
          <w:rFonts w:hint="eastAsia" w:ascii="宋体" w:hAnsi="宋体"/>
          <w:bCs/>
          <w:sz w:val="24"/>
          <w:szCs w:val="18"/>
          <w:lang w:val="en-US" w:eastAsia="zh-CN"/>
        </w:rPr>
        <w:t>79715</w:t>
      </w:r>
      <w:r>
        <w:rPr>
          <w:rFonts w:hint="eastAsia" w:ascii="宋体" w:hAnsi="宋体"/>
          <w:bCs/>
          <w:sz w:val="24"/>
          <w:szCs w:val="18"/>
        </w:rPr>
        <w:t>.</w:t>
      </w:r>
      <w:r>
        <w:rPr>
          <w:rFonts w:hint="eastAsia" w:ascii="宋体" w:hAnsi="宋体"/>
          <w:bCs/>
          <w:sz w:val="24"/>
          <w:szCs w:val="18"/>
          <w:lang w:val="en-US" w:eastAsia="zh-CN"/>
        </w:rPr>
        <w:t>23</w:t>
      </w:r>
      <w:r>
        <w:rPr>
          <w:rFonts w:hint="eastAsia" w:ascii="宋体" w:hAnsi="宋体"/>
          <w:bCs/>
          <w:sz w:val="24"/>
          <w:szCs w:val="18"/>
        </w:rPr>
        <w:t>㎡</w:t>
      </w:r>
      <w:r>
        <w:rPr>
          <w:rFonts w:hint="eastAsia" w:ascii="宋体" w:hAnsi="宋体"/>
          <w:bCs/>
          <w:sz w:val="24"/>
          <w:szCs w:val="18"/>
          <w:lang w:eastAsia="zh-CN"/>
        </w:rPr>
        <w:t>，</w:t>
      </w:r>
      <w:r>
        <w:rPr>
          <w:rFonts w:hint="eastAsia" w:ascii="宋体" w:hAnsi="宋体"/>
          <w:bCs/>
          <w:sz w:val="24"/>
          <w:szCs w:val="18"/>
        </w:rPr>
        <w:t>容积率为1.</w:t>
      </w:r>
      <w:r>
        <w:rPr>
          <w:rFonts w:hint="eastAsia" w:ascii="宋体" w:hAnsi="宋体"/>
          <w:bCs/>
          <w:sz w:val="24"/>
          <w:szCs w:val="18"/>
          <w:lang w:val="en-US" w:eastAsia="zh-CN"/>
        </w:rPr>
        <w:t>65</w:t>
      </w:r>
      <w:r>
        <w:rPr>
          <w:rFonts w:hint="eastAsia" w:ascii="宋体" w:hAnsi="宋体"/>
          <w:bCs/>
          <w:sz w:val="24"/>
          <w:szCs w:val="18"/>
        </w:rPr>
        <w:t>， 绿化率</w:t>
      </w:r>
      <w:r>
        <w:rPr>
          <w:rFonts w:hint="eastAsia" w:ascii="宋体" w:hAnsi="宋体"/>
          <w:bCs/>
          <w:sz w:val="24"/>
          <w:szCs w:val="18"/>
          <w:lang w:val="en-US" w:eastAsia="zh-CN"/>
        </w:rPr>
        <w:t>2</w:t>
      </w:r>
      <w:r>
        <w:rPr>
          <w:rFonts w:hint="eastAsia" w:ascii="宋体" w:hAnsi="宋体"/>
          <w:bCs/>
          <w:sz w:val="24"/>
          <w:szCs w:val="18"/>
        </w:rPr>
        <w:t>0.0</w:t>
      </w:r>
      <w:r>
        <w:rPr>
          <w:rFonts w:hint="eastAsia" w:ascii="宋体" w:hAnsi="宋体"/>
          <w:bCs/>
          <w:sz w:val="24"/>
          <w:szCs w:val="18"/>
          <w:lang w:val="en-US" w:eastAsia="zh-CN"/>
        </w:rPr>
        <w:t>0</w:t>
      </w:r>
      <w:r>
        <w:rPr>
          <w:rFonts w:hint="eastAsia" w:ascii="宋体" w:hAnsi="宋体"/>
          <w:bCs/>
          <w:sz w:val="24"/>
          <w:szCs w:val="18"/>
        </w:rPr>
        <w:t xml:space="preserve">% </w:t>
      </w:r>
      <w:r>
        <w:rPr>
          <w:rFonts w:hint="eastAsia" w:ascii="宋体" w:hAnsi="宋体"/>
          <w:bCs/>
          <w:sz w:val="24"/>
          <w:szCs w:val="18"/>
          <w:lang w:eastAsia="zh-CN"/>
        </w:rPr>
        <w:t>；</w:t>
      </w:r>
      <w:r>
        <w:rPr>
          <w:rFonts w:hint="eastAsia" w:ascii="宋体" w:hAnsi="宋体"/>
          <w:bCs/>
          <w:sz w:val="24"/>
          <w:szCs w:val="18"/>
        </w:rPr>
        <w:t>物管用房4</w:t>
      </w:r>
      <w:r>
        <w:rPr>
          <w:rFonts w:hint="eastAsia" w:ascii="宋体" w:hAnsi="宋体"/>
          <w:bCs/>
          <w:sz w:val="24"/>
          <w:szCs w:val="18"/>
          <w:lang w:val="en-US" w:eastAsia="zh-CN"/>
        </w:rPr>
        <w:t>68</w:t>
      </w:r>
      <w:r>
        <w:rPr>
          <w:rFonts w:hint="eastAsia" w:ascii="宋体" w:hAnsi="宋体"/>
          <w:bCs/>
          <w:sz w:val="24"/>
          <w:szCs w:val="18"/>
        </w:rPr>
        <w:t>.</w:t>
      </w:r>
      <w:r>
        <w:rPr>
          <w:rFonts w:hint="eastAsia" w:ascii="宋体" w:hAnsi="宋体"/>
          <w:bCs/>
          <w:sz w:val="24"/>
          <w:szCs w:val="18"/>
          <w:lang w:val="en-US" w:eastAsia="zh-CN"/>
        </w:rPr>
        <w:t>74</w:t>
      </w:r>
      <w:r>
        <w:rPr>
          <w:rFonts w:hint="eastAsia" w:ascii="宋体" w:hAnsi="宋体"/>
          <w:bCs/>
          <w:sz w:val="24"/>
          <w:szCs w:val="18"/>
        </w:rPr>
        <w:t xml:space="preserve">㎡ </w:t>
      </w:r>
      <w:r>
        <w:rPr>
          <w:rFonts w:hint="eastAsia" w:ascii="宋体" w:hAnsi="宋体"/>
          <w:bCs/>
          <w:sz w:val="24"/>
          <w:szCs w:val="18"/>
          <w:lang w:eastAsia="zh-CN"/>
        </w:rPr>
        <w:t>；</w:t>
      </w:r>
      <w:r>
        <w:rPr>
          <w:rFonts w:hint="eastAsia" w:ascii="宋体" w:hAnsi="宋体"/>
          <w:bCs/>
          <w:sz w:val="24"/>
          <w:szCs w:val="18"/>
        </w:rPr>
        <w:t>机动车位</w:t>
      </w:r>
      <w:r>
        <w:rPr>
          <w:rFonts w:hint="eastAsia" w:ascii="宋体" w:hAnsi="宋体"/>
          <w:bCs/>
          <w:sz w:val="24"/>
          <w:szCs w:val="18"/>
          <w:lang w:val="en-US" w:eastAsia="zh-CN"/>
        </w:rPr>
        <w:t>209</w:t>
      </w:r>
      <w:r>
        <w:rPr>
          <w:rFonts w:hint="eastAsia" w:ascii="宋体" w:hAnsi="宋体"/>
          <w:bCs/>
          <w:sz w:val="24"/>
          <w:szCs w:val="18"/>
        </w:rPr>
        <w:t>个，建筑密度为</w:t>
      </w:r>
      <w:r>
        <w:rPr>
          <w:rFonts w:hint="eastAsia" w:ascii="宋体" w:hAnsi="宋体"/>
          <w:bCs/>
          <w:sz w:val="24"/>
          <w:szCs w:val="18"/>
          <w:lang w:val="en-US" w:eastAsia="zh-CN"/>
        </w:rPr>
        <w:t>39</w:t>
      </w:r>
      <w:r>
        <w:rPr>
          <w:rFonts w:hint="eastAsia" w:ascii="宋体" w:hAnsi="宋体"/>
          <w:bCs/>
          <w:sz w:val="24"/>
          <w:szCs w:val="18"/>
        </w:rPr>
        <w:t>.</w:t>
      </w:r>
      <w:r>
        <w:rPr>
          <w:rFonts w:hint="eastAsia" w:ascii="宋体" w:hAnsi="宋体"/>
          <w:bCs/>
          <w:sz w:val="24"/>
          <w:szCs w:val="18"/>
          <w:lang w:val="en-US" w:eastAsia="zh-CN"/>
        </w:rPr>
        <w:t>55</w:t>
      </w:r>
      <w:r>
        <w:rPr>
          <w:rFonts w:hint="eastAsia" w:ascii="宋体" w:hAnsi="宋体"/>
          <w:bCs/>
          <w:sz w:val="24"/>
          <w:szCs w:val="18"/>
        </w:rPr>
        <w:t>%。</w:t>
      </w:r>
    </w:p>
    <w:p>
      <w:pPr>
        <w:autoSpaceDE w:val="0"/>
        <w:autoSpaceDN w:val="0"/>
        <w:adjustRightInd w:val="0"/>
        <w:spacing w:line="360" w:lineRule="auto"/>
        <w:ind w:firstLine="441" w:firstLineChars="183"/>
        <w:jc w:val="left"/>
        <w:rPr>
          <w:rFonts w:hint="eastAsia" w:ascii="宋体" w:hAnsi="宋体"/>
          <w:b/>
          <w:sz w:val="24"/>
          <w:szCs w:val="18"/>
        </w:rPr>
      </w:pPr>
      <w:r>
        <w:rPr>
          <w:rFonts w:hint="eastAsia" w:ascii="宋体" w:hAnsi="宋体"/>
          <w:b/>
          <w:sz w:val="24"/>
          <w:szCs w:val="18"/>
        </w:rPr>
        <w:t>二、物业服务内容：</w:t>
      </w:r>
    </w:p>
    <w:p>
      <w:pPr>
        <w:spacing w:line="360" w:lineRule="auto"/>
        <w:ind w:firstLine="480" w:firstLineChars="200"/>
        <w:rPr>
          <w:rFonts w:hint="eastAsia" w:ascii="宋体" w:hAnsi="宋体"/>
          <w:sz w:val="24"/>
          <w:szCs w:val="28"/>
        </w:rPr>
      </w:pPr>
      <w:r>
        <w:rPr>
          <w:rFonts w:hint="eastAsia" w:ascii="宋体" w:hAnsi="宋体"/>
          <w:sz w:val="24"/>
          <w:szCs w:val="28"/>
        </w:rPr>
        <w:t>1、物业管理区域内房屋建筑本体、公共部分的维护、管理；</w:t>
      </w:r>
    </w:p>
    <w:p>
      <w:pPr>
        <w:spacing w:line="360" w:lineRule="auto"/>
        <w:ind w:firstLine="480" w:firstLineChars="200"/>
        <w:rPr>
          <w:rFonts w:hint="eastAsia" w:ascii="宋体" w:hAnsi="宋体"/>
          <w:sz w:val="24"/>
          <w:szCs w:val="28"/>
        </w:rPr>
      </w:pPr>
      <w:r>
        <w:rPr>
          <w:rFonts w:hint="eastAsia" w:ascii="宋体" w:hAnsi="宋体"/>
          <w:sz w:val="24"/>
          <w:szCs w:val="28"/>
        </w:rPr>
        <w:t>2、物业管理区域内公共配套设施、设备维护、运行管理；</w:t>
      </w:r>
    </w:p>
    <w:p>
      <w:pPr>
        <w:spacing w:line="360" w:lineRule="auto"/>
        <w:ind w:firstLine="480" w:firstLineChars="200"/>
        <w:rPr>
          <w:rFonts w:hint="eastAsia" w:ascii="宋体" w:hAnsi="宋体"/>
          <w:sz w:val="24"/>
          <w:szCs w:val="28"/>
        </w:rPr>
      </w:pPr>
      <w:r>
        <w:rPr>
          <w:rFonts w:hint="eastAsia" w:ascii="宋体" w:hAnsi="宋体"/>
          <w:sz w:val="24"/>
          <w:szCs w:val="28"/>
        </w:rPr>
        <w:t>3、物业管理区域内公共场所、道路、房屋建筑公共部分清洁卫生、定期消杀、装修及生活垃圾收集清运；</w:t>
      </w:r>
    </w:p>
    <w:p>
      <w:pPr>
        <w:spacing w:line="360" w:lineRule="auto"/>
        <w:ind w:firstLine="480" w:firstLineChars="200"/>
        <w:rPr>
          <w:rFonts w:hint="eastAsia" w:ascii="宋体" w:hAnsi="宋体"/>
          <w:sz w:val="24"/>
          <w:szCs w:val="28"/>
        </w:rPr>
      </w:pPr>
      <w:r>
        <w:rPr>
          <w:rFonts w:hint="eastAsia" w:ascii="宋体" w:hAnsi="宋体"/>
          <w:sz w:val="24"/>
          <w:szCs w:val="28"/>
        </w:rPr>
        <w:t>4、物业管理区域内公共绿化、园林小品的养护和管理；</w:t>
      </w:r>
    </w:p>
    <w:p>
      <w:pPr>
        <w:spacing w:line="360" w:lineRule="auto"/>
        <w:ind w:firstLine="480" w:firstLineChars="200"/>
        <w:rPr>
          <w:rFonts w:hint="eastAsia" w:ascii="宋体" w:hAnsi="宋体"/>
          <w:sz w:val="24"/>
          <w:szCs w:val="28"/>
        </w:rPr>
      </w:pPr>
      <w:r>
        <w:rPr>
          <w:rFonts w:hint="eastAsia" w:ascii="宋体" w:hAnsi="宋体"/>
          <w:sz w:val="24"/>
          <w:szCs w:val="28"/>
        </w:rPr>
        <w:t>5、物业管理区域的日常安全巡查服务；</w:t>
      </w:r>
    </w:p>
    <w:p>
      <w:pPr>
        <w:spacing w:line="360" w:lineRule="auto"/>
        <w:ind w:firstLine="480" w:firstLineChars="200"/>
        <w:rPr>
          <w:rFonts w:hint="eastAsia" w:ascii="宋体" w:hAnsi="宋体"/>
          <w:sz w:val="24"/>
          <w:szCs w:val="28"/>
        </w:rPr>
      </w:pPr>
      <w:r>
        <w:rPr>
          <w:rFonts w:hint="eastAsia" w:ascii="宋体" w:hAnsi="宋体"/>
          <w:sz w:val="24"/>
          <w:szCs w:val="28"/>
        </w:rPr>
        <w:t>6、物业管理区域内业主、使用人装饰装修物业管理服务；</w:t>
      </w:r>
    </w:p>
    <w:p>
      <w:pPr>
        <w:spacing w:line="360" w:lineRule="auto"/>
        <w:ind w:firstLine="480" w:firstLineChars="200"/>
        <w:rPr>
          <w:rFonts w:hint="eastAsia" w:ascii="宋体" w:hAnsi="宋体"/>
          <w:sz w:val="24"/>
          <w:szCs w:val="28"/>
        </w:rPr>
      </w:pPr>
      <w:r>
        <w:rPr>
          <w:rFonts w:hint="eastAsia" w:ascii="宋体" w:hAnsi="宋体"/>
          <w:sz w:val="24"/>
          <w:szCs w:val="28"/>
        </w:rPr>
        <w:t>7、物业管理区域内楼宇自动化设备系统的运行、维护管理；</w:t>
      </w:r>
    </w:p>
    <w:p>
      <w:pPr>
        <w:spacing w:line="360" w:lineRule="auto"/>
        <w:ind w:firstLine="480" w:firstLineChars="200"/>
        <w:rPr>
          <w:rFonts w:hint="eastAsia" w:ascii="宋体" w:hAnsi="宋体"/>
          <w:sz w:val="24"/>
          <w:szCs w:val="28"/>
        </w:rPr>
      </w:pPr>
      <w:r>
        <w:rPr>
          <w:rFonts w:hint="eastAsia" w:ascii="宋体" w:hAnsi="宋体"/>
          <w:sz w:val="24"/>
          <w:szCs w:val="28"/>
        </w:rPr>
        <w:t>8、供水、供电、供气、电信等专业单位在物业管理区域内对相关管线、设施维修养护时，进行必要的协调和管理；</w:t>
      </w:r>
    </w:p>
    <w:p>
      <w:pPr>
        <w:spacing w:line="360" w:lineRule="auto"/>
        <w:ind w:firstLine="480" w:firstLineChars="200"/>
        <w:rPr>
          <w:rFonts w:hint="eastAsia" w:ascii="宋体" w:hAnsi="宋体"/>
          <w:sz w:val="24"/>
          <w:szCs w:val="28"/>
        </w:rPr>
      </w:pPr>
      <w:r>
        <w:rPr>
          <w:rFonts w:hint="eastAsia" w:ascii="宋体" w:hAnsi="宋体"/>
          <w:sz w:val="24"/>
          <w:szCs w:val="28"/>
        </w:rPr>
        <w:t>9、物业管理区域交通、车辆行驶和停泊管理；</w:t>
      </w:r>
    </w:p>
    <w:p>
      <w:pPr>
        <w:spacing w:line="360" w:lineRule="auto"/>
        <w:ind w:firstLine="480" w:firstLineChars="200"/>
        <w:rPr>
          <w:rFonts w:hint="eastAsia" w:ascii="宋体" w:hAnsi="宋体"/>
          <w:sz w:val="24"/>
          <w:szCs w:val="28"/>
        </w:rPr>
      </w:pPr>
      <w:r>
        <w:rPr>
          <w:rFonts w:hint="eastAsia" w:ascii="宋体" w:hAnsi="宋体"/>
          <w:sz w:val="24"/>
          <w:szCs w:val="28"/>
        </w:rPr>
        <w:t>10、物业及物业档案资料收集、管理；</w:t>
      </w:r>
    </w:p>
    <w:p>
      <w:pPr>
        <w:spacing w:line="360" w:lineRule="auto"/>
        <w:ind w:firstLine="480" w:firstLineChars="200"/>
        <w:rPr>
          <w:rFonts w:hint="eastAsia" w:ascii="宋体" w:hAnsi="宋体"/>
          <w:sz w:val="24"/>
          <w:szCs w:val="28"/>
        </w:rPr>
      </w:pPr>
      <w:r>
        <w:rPr>
          <w:rFonts w:hint="eastAsia" w:ascii="宋体" w:hAnsi="宋体"/>
          <w:sz w:val="24"/>
          <w:szCs w:val="28"/>
        </w:rPr>
        <w:t>11、社区文化的开展；</w:t>
      </w:r>
    </w:p>
    <w:p>
      <w:pPr>
        <w:spacing w:line="360" w:lineRule="auto"/>
        <w:ind w:firstLine="480" w:firstLineChars="200"/>
        <w:rPr>
          <w:rFonts w:hint="eastAsia" w:ascii="宋体" w:hAnsi="宋体"/>
          <w:sz w:val="24"/>
          <w:szCs w:val="28"/>
        </w:rPr>
      </w:pPr>
      <w:r>
        <w:rPr>
          <w:rFonts w:hint="eastAsia" w:ascii="宋体" w:hAnsi="宋体"/>
          <w:sz w:val="24"/>
          <w:szCs w:val="28"/>
        </w:rPr>
        <w:t>12、法规和政策规定的由物业管理公司管理的其他事项；</w:t>
      </w:r>
    </w:p>
    <w:p>
      <w:pPr>
        <w:spacing w:line="360" w:lineRule="auto"/>
        <w:ind w:firstLine="480" w:firstLineChars="200"/>
        <w:rPr>
          <w:rFonts w:hint="eastAsia" w:ascii="宋体" w:hAnsi="宋体"/>
          <w:sz w:val="24"/>
          <w:szCs w:val="28"/>
        </w:rPr>
      </w:pPr>
      <w:r>
        <w:rPr>
          <w:rFonts w:hint="eastAsia" w:ascii="宋体" w:hAnsi="宋体"/>
          <w:sz w:val="24"/>
          <w:szCs w:val="28"/>
        </w:rPr>
        <w:t>13、法律法规中确定由物业管理公司应做的其他事项；</w:t>
      </w:r>
    </w:p>
    <w:p>
      <w:pPr>
        <w:spacing w:line="360" w:lineRule="auto"/>
        <w:ind w:firstLine="480" w:firstLineChars="200"/>
        <w:rPr>
          <w:rFonts w:hint="eastAsia" w:ascii="宋体" w:hAnsi="宋体"/>
          <w:sz w:val="24"/>
          <w:szCs w:val="28"/>
        </w:rPr>
      </w:pPr>
      <w:r>
        <w:rPr>
          <w:rFonts w:hint="eastAsia" w:ascii="宋体" w:hAnsi="宋体"/>
          <w:sz w:val="24"/>
          <w:szCs w:val="28"/>
        </w:rPr>
        <w:t>14、法律政策和物业服务合同中规定的其他事项。</w:t>
      </w:r>
    </w:p>
    <w:p>
      <w:pPr>
        <w:autoSpaceDE w:val="0"/>
        <w:autoSpaceDN w:val="0"/>
        <w:adjustRightInd w:val="0"/>
        <w:spacing w:line="360" w:lineRule="auto"/>
        <w:ind w:firstLine="200"/>
        <w:jc w:val="left"/>
        <w:rPr>
          <w:rFonts w:hint="eastAsia" w:ascii="宋体" w:hAnsi="宋体"/>
          <w:b/>
          <w:sz w:val="24"/>
          <w:szCs w:val="18"/>
        </w:rPr>
      </w:pPr>
      <w:r>
        <w:rPr>
          <w:rFonts w:hint="eastAsia" w:ascii="宋体" w:hAnsi="宋体"/>
          <w:b/>
          <w:sz w:val="24"/>
          <w:szCs w:val="18"/>
        </w:rPr>
        <w:t>三、物业服务标准：</w:t>
      </w:r>
    </w:p>
    <w:p>
      <w:pPr>
        <w:spacing w:line="360" w:lineRule="auto"/>
        <w:ind w:firstLine="480" w:firstLineChars="200"/>
        <w:rPr>
          <w:rFonts w:hint="eastAsia" w:ascii="宋体" w:hAnsi="宋体" w:eastAsia="宋体"/>
          <w:sz w:val="24"/>
          <w:szCs w:val="28"/>
          <w:lang w:val="en-US" w:eastAsia="zh-CN"/>
        </w:rPr>
      </w:pPr>
      <w:r>
        <w:rPr>
          <w:rFonts w:hint="eastAsia" w:ascii="宋体" w:hAnsi="宋体"/>
          <w:bCs/>
          <w:sz w:val="24"/>
          <w:szCs w:val="18"/>
        </w:rPr>
        <w:t xml:space="preserve"> 参照桐城市发改委和桐城市住建局制定桐发改价（2021）190号关于印发《桐城市住宅小区物业服务收费管理办法》的文件A级服务标准执行</w:t>
      </w:r>
      <w:r>
        <w:rPr>
          <w:rFonts w:hint="eastAsia" w:ascii="宋体" w:hAnsi="宋体"/>
          <w:bCs/>
          <w:sz w:val="24"/>
          <w:szCs w:val="18"/>
          <w:lang w:val="en-US" w:eastAsia="zh-CN"/>
        </w:rPr>
        <w:t>.</w:t>
      </w:r>
    </w:p>
    <w:p>
      <w:pPr>
        <w:spacing w:line="360" w:lineRule="auto"/>
        <w:ind w:firstLine="480" w:firstLineChars="200"/>
        <w:rPr>
          <w:rFonts w:hint="eastAsia" w:ascii="宋体" w:hAnsi="宋体"/>
          <w:sz w:val="24"/>
          <w:szCs w:val="28"/>
        </w:rPr>
      </w:pPr>
      <w:r>
        <w:rPr>
          <w:rFonts w:hint="eastAsia" w:ascii="宋体" w:hAnsi="宋体"/>
          <w:sz w:val="24"/>
          <w:szCs w:val="28"/>
        </w:rPr>
        <w:t>2、人员配备按照以上标准配置，人员工资不得低于桐城市最低工资标准，保险按照国家相关规定执行。投标人应考虑合同期内最低工资等政策性费用调整的风险。成本核算时所有配备的人员都应计算保险部分，不得以使用40、50人员为由不予核算。</w:t>
      </w:r>
    </w:p>
    <w:p>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3、人员任职要求</w:t>
      </w:r>
    </w:p>
    <w:p>
      <w:pPr>
        <w:spacing w:line="360" w:lineRule="auto"/>
        <w:ind w:firstLine="480" w:firstLineChars="200"/>
        <w:rPr>
          <w:rFonts w:hint="eastAsia" w:ascii="宋体" w:hAnsi="宋体" w:eastAsia="宋体" w:cs="Times New Roman"/>
          <w:sz w:val="24"/>
          <w:szCs w:val="28"/>
          <w:lang w:eastAsia="zh-CN"/>
        </w:rPr>
      </w:pPr>
      <w:r>
        <w:rPr>
          <w:rFonts w:hint="eastAsia" w:ascii="宋体" w:hAnsi="宋体"/>
          <w:sz w:val="24"/>
          <w:szCs w:val="28"/>
          <w:highlight w:val="none"/>
        </w:rPr>
        <w:t>（1）项目经理：</w:t>
      </w:r>
      <w:r>
        <w:rPr>
          <w:rFonts w:hint="eastAsia" w:ascii="宋体" w:hAnsi="宋体" w:eastAsia="宋体" w:cs="Times New Roman"/>
          <w:sz w:val="24"/>
          <w:szCs w:val="28"/>
          <w:lang w:val="en-US"/>
        </w:rPr>
        <w:t>全日制本科及以上学历</w:t>
      </w:r>
      <w:r>
        <w:rPr>
          <w:rFonts w:hint="eastAsia" w:ascii="宋体" w:hAnsi="宋体" w:eastAsia="宋体" w:cs="Times New Roman"/>
          <w:sz w:val="24"/>
          <w:szCs w:val="28"/>
          <w:lang w:val="en-US" w:eastAsia="zh-CN"/>
        </w:rPr>
        <w:t>且为中共党员，</w:t>
      </w:r>
      <w:r>
        <w:rPr>
          <w:rFonts w:hint="eastAsia" w:ascii="宋体" w:hAnsi="宋体" w:eastAsia="宋体" w:cs="Times New Roman"/>
          <w:sz w:val="24"/>
          <w:szCs w:val="28"/>
        </w:rPr>
        <w:t>人社部门颁发的中级及以上职称证书</w:t>
      </w:r>
      <w:r>
        <w:rPr>
          <w:rFonts w:hint="eastAsia" w:ascii="宋体" w:hAnsi="宋体" w:eastAsia="宋体" w:cs="Times New Roman"/>
          <w:sz w:val="24"/>
          <w:szCs w:val="28"/>
          <w:lang w:eastAsia="zh-CN"/>
        </w:rPr>
        <w:t>，</w:t>
      </w:r>
      <w:r>
        <w:rPr>
          <w:rFonts w:hint="eastAsia" w:ascii="宋体" w:hAnsi="宋体" w:eastAsia="宋体" w:cs="Times New Roman"/>
          <w:sz w:val="24"/>
          <w:szCs w:val="28"/>
        </w:rPr>
        <w:t>全国物业管理企业经理证</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年龄不超过40岁，具有三年以上工作经验；</w:t>
      </w:r>
    </w:p>
    <w:p>
      <w:pPr>
        <w:spacing w:line="360" w:lineRule="auto"/>
        <w:ind w:firstLine="480" w:firstLineChars="200"/>
        <w:rPr>
          <w:rFonts w:hint="eastAsia" w:ascii="宋体" w:hAnsi="宋体" w:eastAsia="宋体" w:cs="Times New Roman"/>
          <w:sz w:val="24"/>
          <w:szCs w:val="28"/>
          <w:highlight w:val="none"/>
          <w:lang w:eastAsia="zh-CN"/>
        </w:rPr>
      </w:pPr>
      <w:r>
        <w:rPr>
          <w:rFonts w:hint="eastAsia" w:ascii="宋体" w:hAnsi="宋体" w:eastAsia="宋体" w:cs="Times New Roman"/>
          <w:sz w:val="24"/>
          <w:szCs w:val="28"/>
          <w:highlight w:val="none"/>
        </w:rPr>
        <w:t>（2）</w:t>
      </w:r>
      <w:r>
        <w:rPr>
          <w:rFonts w:hint="eastAsia" w:ascii="宋体" w:hAnsi="宋体" w:eastAsia="宋体" w:cs="Times New Roman"/>
          <w:sz w:val="24"/>
          <w:szCs w:val="28"/>
          <w:highlight w:val="none"/>
          <w:lang w:eastAsia="zh-CN"/>
        </w:rPr>
        <w:t>秩序主管：</w:t>
      </w:r>
      <w:r>
        <w:rPr>
          <w:rFonts w:hint="eastAsia" w:ascii="宋体" w:hAnsi="宋体" w:eastAsia="宋体" w:cs="Times New Roman"/>
          <w:sz w:val="24"/>
          <w:szCs w:val="28"/>
          <w:highlight w:val="none"/>
          <w:lang w:val="en-US" w:eastAsia="zh-CN"/>
        </w:rPr>
        <w:t>本科或本科以上学历，退伍军人证及保安员证，三级及以上消防设施操作员证或建构筑物消防员证；</w:t>
      </w:r>
    </w:p>
    <w:p>
      <w:pPr>
        <w:spacing w:line="360" w:lineRule="auto"/>
        <w:ind w:firstLine="480" w:firstLineChars="200"/>
        <w:rPr>
          <w:rFonts w:hint="eastAsia" w:ascii="宋体" w:hAnsi="宋体"/>
          <w:sz w:val="24"/>
          <w:szCs w:val="28"/>
          <w:highlight w:val="yellow"/>
        </w:rPr>
      </w:pPr>
      <w:r>
        <w:rPr>
          <w:rFonts w:hint="eastAsia" w:ascii="宋体" w:hAnsi="宋体" w:eastAsia="宋体" w:cs="Times New Roman"/>
          <w:sz w:val="24"/>
          <w:szCs w:val="28"/>
          <w:highlight w:val="none"/>
        </w:rPr>
        <w:t>（3）工程主管：大专</w:t>
      </w:r>
      <w:r>
        <w:rPr>
          <w:rFonts w:hint="eastAsia" w:ascii="宋体" w:hAnsi="宋体" w:eastAsia="宋体" w:cs="Times New Roman"/>
          <w:sz w:val="24"/>
          <w:szCs w:val="28"/>
          <w:highlight w:val="none"/>
          <w:lang w:val="en-US" w:eastAsia="zh-CN"/>
        </w:rPr>
        <w:t>或大专以上</w:t>
      </w:r>
      <w:r>
        <w:rPr>
          <w:rFonts w:hint="eastAsia" w:ascii="宋体" w:hAnsi="宋体" w:eastAsia="宋体" w:cs="Times New Roman"/>
          <w:sz w:val="24"/>
          <w:szCs w:val="28"/>
          <w:highlight w:val="none"/>
        </w:rPr>
        <w:t>以上学历</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lang w:val="en-US"/>
        </w:rPr>
        <w:t>特种设备安全和作业人员证(A类)，</w:t>
      </w:r>
      <w:r>
        <w:rPr>
          <w:rFonts w:hint="eastAsia" w:ascii="宋体" w:hAnsi="宋体" w:eastAsia="宋体" w:cs="Times New Roman"/>
          <w:sz w:val="24"/>
          <w:szCs w:val="28"/>
          <w:highlight w:val="none"/>
          <w:lang w:val="en-US" w:eastAsia="zh-CN"/>
        </w:rPr>
        <w:t>高压及低压</w:t>
      </w:r>
      <w:r>
        <w:rPr>
          <w:rFonts w:hint="eastAsia" w:ascii="宋体" w:hAnsi="宋体" w:eastAsia="宋体" w:cs="Times New Roman"/>
          <w:sz w:val="24"/>
          <w:szCs w:val="28"/>
          <w:highlight w:val="none"/>
        </w:rPr>
        <w:t>电工</w:t>
      </w:r>
      <w:r>
        <w:rPr>
          <w:rFonts w:hint="eastAsia" w:ascii="宋体" w:hAnsi="宋体" w:eastAsia="宋体" w:cs="Times New Roman"/>
          <w:sz w:val="24"/>
          <w:szCs w:val="28"/>
          <w:highlight w:val="none"/>
          <w:lang w:val="en-US" w:eastAsia="zh-CN"/>
        </w:rPr>
        <w:t>操作证</w:t>
      </w:r>
      <w:r>
        <w:rPr>
          <w:rFonts w:hint="eastAsia" w:ascii="宋体" w:hAnsi="宋体" w:eastAsia="宋体" w:cs="Times New Roman"/>
          <w:sz w:val="24"/>
          <w:szCs w:val="28"/>
          <w:highlight w:val="none"/>
        </w:rPr>
        <w:t>，</w:t>
      </w:r>
      <w:r>
        <w:rPr>
          <w:rFonts w:hint="eastAsia" w:ascii="宋体" w:hAnsi="宋体" w:eastAsia="宋体" w:cs="Times New Roman"/>
          <w:sz w:val="24"/>
          <w:szCs w:val="28"/>
          <w:highlight w:val="none"/>
          <w:lang w:val="en-US" w:eastAsia="zh-CN"/>
        </w:rPr>
        <w:t>高级消防工程师证；</w:t>
      </w:r>
    </w:p>
    <w:p>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w:t>
      </w:r>
      <w:r>
        <w:rPr>
          <w:rFonts w:hint="eastAsia" w:ascii="宋体" w:hAnsi="宋体"/>
          <w:sz w:val="24"/>
          <w:szCs w:val="28"/>
          <w:highlight w:val="none"/>
          <w:lang w:val="en-US" w:eastAsia="zh-CN"/>
        </w:rPr>
        <w:t>4</w:t>
      </w:r>
      <w:r>
        <w:rPr>
          <w:rFonts w:hint="eastAsia" w:ascii="宋体" w:hAnsi="宋体"/>
          <w:sz w:val="24"/>
          <w:szCs w:val="28"/>
          <w:highlight w:val="none"/>
        </w:rPr>
        <w:t>）保安：身体健康，品行端正，身高170CM以上，年龄在5</w:t>
      </w:r>
      <w:r>
        <w:rPr>
          <w:rFonts w:hint="eastAsia" w:ascii="宋体" w:hAnsi="宋体"/>
          <w:sz w:val="24"/>
          <w:szCs w:val="28"/>
          <w:highlight w:val="none"/>
          <w:lang w:val="en-US" w:eastAsia="zh-CN"/>
        </w:rPr>
        <w:t>0</w:t>
      </w:r>
      <w:r>
        <w:rPr>
          <w:rFonts w:hint="eastAsia" w:ascii="宋体" w:hAnsi="宋体"/>
          <w:sz w:val="24"/>
          <w:szCs w:val="28"/>
          <w:highlight w:val="none"/>
        </w:rPr>
        <w:t>周岁以下，形象岗在45周岁以下。须经过严格的岗前培训，基本掌握队列操练、交通手势等基础知识，工作时着正规保安服装上岗，严守纪律，严谨细致，认真负责，有勇有谋，服从指挥；</w:t>
      </w:r>
    </w:p>
    <w:p>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w:t>
      </w:r>
      <w:r>
        <w:rPr>
          <w:rFonts w:hint="eastAsia" w:ascii="宋体" w:hAnsi="宋体"/>
          <w:sz w:val="24"/>
          <w:szCs w:val="28"/>
          <w:highlight w:val="none"/>
          <w:lang w:val="en-US" w:eastAsia="zh-CN"/>
        </w:rPr>
        <w:t>5</w:t>
      </w:r>
      <w:r>
        <w:rPr>
          <w:rFonts w:hint="eastAsia" w:ascii="宋体" w:hAnsi="宋体"/>
          <w:sz w:val="24"/>
          <w:szCs w:val="28"/>
          <w:highlight w:val="none"/>
        </w:rPr>
        <w:t>）保洁：身体健康，五官端正，年龄不得高于55岁，具有2年以上工作经验；</w:t>
      </w:r>
    </w:p>
    <w:p>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w:t>
      </w:r>
      <w:r>
        <w:rPr>
          <w:rFonts w:hint="eastAsia" w:ascii="宋体" w:hAnsi="宋体"/>
          <w:sz w:val="24"/>
          <w:szCs w:val="28"/>
          <w:highlight w:val="none"/>
          <w:lang w:val="en-US" w:eastAsia="zh-CN"/>
        </w:rPr>
        <w:t>6</w:t>
      </w:r>
      <w:r>
        <w:rPr>
          <w:rFonts w:hint="eastAsia" w:ascii="宋体" w:hAnsi="宋体"/>
          <w:sz w:val="24"/>
          <w:szCs w:val="28"/>
          <w:highlight w:val="none"/>
        </w:rPr>
        <w:t>）工程维修人员：须持有电梯安全管理员证，年龄35周岁以上，并取得专业技术岗位证书并年检合格，</w:t>
      </w:r>
      <w:r>
        <w:rPr>
          <w:rFonts w:hint="eastAsia" w:ascii="宋体" w:hAnsi="宋体"/>
          <w:sz w:val="24"/>
          <w:szCs w:val="28"/>
          <w:highlight w:val="none"/>
          <w:lang w:val="en-US" w:eastAsia="zh-CN"/>
        </w:rPr>
        <w:t>3</w:t>
      </w:r>
      <w:r>
        <w:rPr>
          <w:rFonts w:hint="eastAsia" w:ascii="宋体" w:hAnsi="宋体"/>
          <w:sz w:val="24"/>
          <w:szCs w:val="28"/>
          <w:highlight w:val="none"/>
        </w:rPr>
        <w:t>年以上工作经验。</w:t>
      </w:r>
    </w:p>
    <w:p>
      <w:pPr>
        <w:spacing w:line="360" w:lineRule="auto"/>
        <w:ind w:firstLine="480" w:firstLineChars="200"/>
        <w:rPr>
          <w:rFonts w:hint="eastAsia" w:ascii="宋体" w:hAnsi="宋体"/>
          <w:sz w:val="24"/>
          <w:szCs w:val="28"/>
        </w:rPr>
      </w:pPr>
      <w:r>
        <w:rPr>
          <w:rFonts w:hint="eastAsia" w:ascii="宋体" w:hAnsi="宋体"/>
          <w:sz w:val="24"/>
          <w:szCs w:val="28"/>
        </w:rPr>
        <w:t>注：投标文件中仅需提供评分标准中要求的人员证件，其余相关证明材料采购人有权在签订合同前核查。</w:t>
      </w:r>
    </w:p>
    <w:p>
      <w:pPr>
        <w:autoSpaceDE w:val="0"/>
        <w:autoSpaceDN w:val="0"/>
        <w:adjustRightInd w:val="0"/>
        <w:spacing w:line="360" w:lineRule="auto"/>
        <w:jc w:val="left"/>
        <w:rPr>
          <w:rFonts w:hint="eastAsia" w:ascii="宋体" w:hAnsi="宋体"/>
          <w:b/>
          <w:sz w:val="24"/>
          <w:szCs w:val="18"/>
        </w:rPr>
      </w:pPr>
      <w:r>
        <w:rPr>
          <w:rFonts w:hint="eastAsia" w:ascii="宋体" w:hAnsi="宋体"/>
          <w:b/>
          <w:sz w:val="24"/>
          <w:szCs w:val="18"/>
        </w:rPr>
        <w:t>四、报价说明：</w:t>
      </w:r>
    </w:p>
    <w:p>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lang w:val="en-US" w:eastAsia="zh-CN"/>
        </w:rPr>
        <w:t>1、</w:t>
      </w:r>
      <w:r>
        <w:rPr>
          <w:rFonts w:hint="eastAsia" w:ascii="宋体" w:hAnsi="宋体"/>
          <w:sz w:val="24"/>
          <w:szCs w:val="28"/>
          <w:highlight w:val="none"/>
        </w:rPr>
        <w:t>前期开办费采购人按照《安徽省物业管理条例》规定，双方约定按中标价2% 补贴给投标人；</w:t>
      </w:r>
    </w:p>
    <w:p>
      <w:pPr>
        <w:spacing w:line="360" w:lineRule="auto"/>
        <w:ind w:firstLine="480" w:firstLineChars="200"/>
        <w:rPr>
          <w:rFonts w:hint="eastAsia" w:ascii="宋体" w:hAnsi="宋体"/>
          <w:sz w:val="24"/>
          <w:szCs w:val="28"/>
        </w:rPr>
      </w:pPr>
      <w:r>
        <w:rPr>
          <w:rFonts w:hint="eastAsia" w:ascii="宋体" w:hAnsi="宋体"/>
          <w:sz w:val="24"/>
          <w:szCs w:val="28"/>
        </w:rPr>
        <w:t>2、投标总价的计算过程为：</w:t>
      </w:r>
    </w:p>
    <w:p>
      <w:pPr>
        <w:spacing w:line="360" w:lineRule="auto"/>
        <w:ind w:firstLine="480" w:firstLineChars="200"/>
        <w:rPr>
          <w:rFonts w:hint="eastAsia" w:ascii="宋体" w:hAnsi="宋体"/>
          <w:sz w:val="24"/>
          <w:szCs w:val="28"/>
        </w:rPr>
      </w:pPr>
      <w:r>
        <w:rPr>
          <w:rFonts w:hint="eastAsia" w:ascii="宋体" w:hAnsi="宋体"/>
          <w:sz w:val="24"/>
          <w:szCs w:val="28"/>
        </w:rPr>
        <w:t>（1）</w:t>
      </w:r>
      <w:r>
        <w:rPr>
          <w:rFonts w:hint="eastAsia" w:ascii="宋体" w:hAnsi="宋体"/>
          <w:sz w:val="24"/>
          <w:szCs w:val="28"/>
          <w:lang w:val="en-US" w:eastAsia="zh-CN"/>
        </w:rPr>
        <w:t>一期</w:t>
      </w:r>
      <w:r>
        <w:rPr>
          <w:rFonts w:hint="eastAsia" w:ascii="宋体" w:hAnsi="宋体"/>
          <w:sz w:val="24"/>
          <w:szCs w:val="28"/>
        </w:rPr>
        <w:t>建筑部分：</w:t>
      </w:r>
      <w:r>
        <w:rPr>
          <w:rFonts w:hint="eastAsia" w:ascii="宋体" w:hAnsi="宋体"/>
          <w:bCs/>
          <w:sz w:val="24"/>
          <w:szCs w:val="18"/>
          <w:lang w:val="en-US" w:eastAsia="zh-CN"/>
        </w:rPr>
        <w:t>66361</w:t>
      </w:r>
      <w:r>
        <w:rPr>
          <w:rFonts w:hint="eastAsia" w:ascii="宋体" w:hAnsi="宋体"/>
          <w:bCs/>
          <w:sz w:val="24"/>
          <w:szCs w:val="18"/>
        </w:rPr>
        <w:t>.</w:t>
      </w:r>
      <w:r>
        <w:rPr>
          <w:rFonts w:hint="eastAsia" w:ascii="宋体" w:hAnsi="宋体"/>
          <w:bCs/>
          <w:sz w:val="24"/>
          <w:szCs w:val="18"/>
          <w:lang w:val="en-US" w:eastAsia="zh-CN"/>
        </w:rPr>
        <w:t>06</w:t>
      </w:r>
      <w:r>
        <w:rPr>
          <w:rFonts w:hint="eastAsia" w:ascii="宋体" w:hAnsi="宋体"/>
          <w:sz w:val="24"/>
          <w:szCs w:val="28"/>
        </w:rPr>
        <w:t>平方米 × a元/平方米•月×12月= A元</w:t>
      </w:r>
    </w:p>
    <w:p>
      <w:pPr>
        <w:spacing w:line="360" w:lineRule="auto"/>
        <w:ind w:firstLine="480" w:firstLineChars="200"/>
        <w:rPr>
          <w:rFonts w:hint="eastAsia" w:ascii="宋体" w:hAnsi="宋体"/>
          <w:sz w:val="24"/>
          <w:szCs w:val="28"/>
        </w:rPr>
      </w:pPr>
      <w:r>
        <w:rPr>
          <w:rFonts w:hint="eastAsia" w:ascii="宋体" w:hAnsi="宋体"/>
          <w:sz w:val="24"/>
          <w:szCs w:val="28"/>
        </w:rPr>
        <w:t>（2）</w:t>
      </w:r>
      <w:r>
        <w:rPr>
          <w:rFonts w:hint="eastAsia" w:ascii="宋体" w:hAnsi="宋体"/>
          <w:sz w:val="24"/>
          <w:szCs w:val="28"/>
          <w:lang w:val="en-US" w:eastAsia="zh-CN"/>
        </w:rPr>
        <w:t>二期建筑</w:t>
      </w:r>
      <w:r>
        <w:rPr>
          <w:rFonts w:hint="eastAsia" w:ascii="宋体" w:hAnsi="宋体"/>
          <w:sz w:val="24"/>
          <w:szCs w:val="28"/>
        </w:rPr>
        <w:t>部分：</w:t>
      </w:r>
      <w:r>
        <w:rPr>
          <w:rFonts w:hint="eastAsia" w:ascii="宋体" w:hAnsi="宋体"/>
          <w:bCs/>
          <w:sz w:val="24"/>
          <w:szCs w:val="18"/>
          <w:lang w:val="en-US" w:eastAsia="zh-CN"/>
        </w:rPr>
        <w:t>79715</w:t>
      </w:r>
      <w:r>
        <w:rPr>
          <w:rFonts w:hint="eastAsia" w:ascii="宋体" w:hAnsi="宋体"/>
          <w:bCs/>
          <w:sz w:val="24"/>
          <w:szCs w:val="18"/>
        </w:rPr>
        <w:t>.</w:t>
      </w:r>
      <w:r>
        <w:rPr>
          <w:rFonts w:hint="eastAsia" w:ascii="宋体" w:hAnsi="宋体"/>
          <w:bCs/>
          <w:sz w:val="24"/>
          <w:szCs w:val="18"/>
          <w:lang w:val="en-US" w:eastAsia="zh-CN"/>
        </w:rPr>
        <w:t>23</w:t>
      </w:r>
      <w:r>
        <w:rPr>
          <w:rFonts w:hint="eastAsia" w:ascii="宋体" w:hAnsi="宋体"/>
          <w:sz w:val="24"/>
          <w:szCs w:val="28"/>
        </w:rPr>
        <w:t>平方米 × b元/平方米•月×12月= B元</w:t>
      </w:r>
    </w:p>
    <w:p>
      <w:pPr>
        <w:spacing w:line="360" w:lineRule="auto"/>
        <w:ind w:firstLine="480" w:firstLineChars="200"/>
        <w:rPr>
          <w:rFonts w:hint="eastAsia" w:ascii="宋体" w:hAnsi="宋体"/>
          <w:sz w:val="24"/>
          <w:szCs w:val="28"/>
        </w:rPr>
      </w:pPr>
      <w:r>
        <w:rPr>
          <w:rFonts w:hint="eastAsia" w:ascii="宋体" w:hAnsi="宋体"/>
          <w:sz w:val="24"/>
          <w:szCs w:val="28"/>
        </w:rPr>
        <w:t>（3）地上车位：</w:t>
      </w:r>
      <w:r>
        <w:rPr>
          <w:rFonts w:hint="eastAsia" w:ascii="宋体" w:hAnsi="宋体"/>
          <w:sz w:val="24"/>
          <w:szCs w:val="28"/>
          <w:lang w:val="en-US" w:eastAsia="zh-CN"/>
        </w:rPr>
        <w:t xml:space="preserve">  </w:t>
      </w:r>
      <w:r>
        <w:rPr>
          <w:rFonts w:hint="eastAsia" w:ascii="宋体" w:hAnsi="宋体"/>
          <w:sz w:val="24"/>
          <w:szCs w:val="28"/>
        </w:rPr>
        <w:t xml:space="preserve">个 × </w:t>
      </w:r>
      <w:r>
        <w:rPr>
          <w:rFonts w:hint="eastAsia" w:ascii="宋体" w:hAnsi="宋体"/>
          <w:sz w:val="24"/>
          <w:szCs w:val="28"/>
          <w:lang w:val="en-US" w:eastAsia="zh-CN"/>
        </w:rPr>
        <w:t>c</w:t>
      </w:r>
      <w:r>
        <w:rPr>
          <w:rFonts w:hint="eastAsia" w:ascii="宋体" w:hAnsi="宋体"/>
          <w:sz w:val="24"/>
          <w:szCs w:val="28"/>
        </w:rPr>
        <w:t xml:space="preserve">元/个/月×12月= </w:t>
      </w:r>
      <w:r>
        <w:rPr>
          <w:rFonts w:hint="eastAsia" w:ascii="宋体" w:hAnsi="宋体"/>
          <w:sz w:val="24"/>
          <w:szCs w:val="28"/>
          <w:lang w:val="en-US" w:eastAsia="zh-CN"/>
        </w:rPr>
        <w:t>c</w:t>
      </w:r>
      <w:r>
        <w:rPr>
          <w:rFonts w:hint="eastAsia" w:ascii="宋体" w:hAnsi="宋体"/>
          <w:sz w:val="24"/>
          <w:szCs w:val="28"/>
        </w:rPr>
        <w:t>元</w:t>
      </w:r>
    </w:p>
    <w:p>
      <w:pPr>
        <w:spacing w:line="360" w:lineRule="auto"/>
        <w:ind w:firstLine="720" w:firstLineChars="300"/>
        <w:rPr>
          <w:rFonts w:hint="eastAsia" w:ascii="宋体" w:hAnsi="宋体"/>
          <w:sz w:val="24"/>
          <w:szCs w:val="28"/>
        </w:rPr>
      </w:pPr>
      <w:r>
        <w:rPr>
          <w:rFonts w:hint="eastAsia" w:ascii="宋体" w:hAnsi="宋体"/>
          <w:sz w:val="24"/>
          <w:szCs w:val="28"/>
        </w:rPr>
        <w:t>投标总报价 X = A + B + C 不考虑收费率）</w:t>
      </w:r>
    </w:p>
    <w:p>
      <w:pPr>
        <w:numPr>
          <w:ilvl w:val="0"/>
          <w:numId w:val="4"/>
        </w:numPr>
        <w:spacing w:line="360" w:lineRule="auto"/>
        <w:ind w:firstLine="480" w:firstLineChars="200"/>
        <w:rPr>
          <w:rFonts w:hint="eastAsia" w:ascii="宋体" w:hAnsi="宋体"/>
          <w:sz w:val="24"/>
          <w:szCs w:val="28"/>
        </w:rPr>
      </w:pPr>
      <w:r>
        <w:rPr>
          <w:rFonts w:hint="eastAsia" w:ascii="宋体" w:hAnsi="宋体"/>
          <w:sz w:val="24"/>
          <w:szCs w:val="28"/>
        </w:rPr>
        <w:t>a元/平方米·月、b元/平方米·月、c元/平方米·月</w:t>
      </w:r>
    </w:p>
    <w:p>
      <w:pPr>
        <w:spacing w:line="360" w:lineRule="auto"/>
        <w:ind w:firstLine="480" w:firstLineChars="200"/>
        <w:rPr>
          <w:rFonts w:hint="eastAsia" w:ascii="宋体" w:hAnsi="宋体"/>
          <w:sz w:val="24"/>
          <w:szCs w:val="28"/>
        </w:rPr>
      </w:pPr>
      <w:r>
        <w:rPr>
          <w:rFonts w:hint="eastAsia" w:ascii="宋体" w:hAnsi="宋体"/>
          <w:sz w:val="24"/>
          <w:szCs w:val="28"/>
        </w:rPr>
        <w:t>即为项目交付后中标方实际向业主收取的物业管理费单价，按照购房人的产权面积计算及车位使用数量计算；</w:t>
      </w:r>
    </w:p>
    <w:p>
      <w:pPr>
        <w:spacing w:line="360" w:lineRule="auto"/>
        <w:ind w:firstLine="480" w:firstLineChars="200"/>
        <w:rPr>
          <w:rFonts w:ascii="宋体" w:hAnsi="宋体"/>
          <w:sz w:val="24"/>
          <w:szCs w:val="28"/>
        </w:rPr>
      </w:pPr>
      <w:r>
        <w:rPr>
          <w:rFonts w:hint="eastAsia" w:ascii="宋体" w:hAnsi="宋体"/>
          <w:sz w:val="24"/>
          <w:szCs w:val="28"/>
        </w:rPr>
        <w:t>4、上述报价住宅部分包含公共照明、消防设施、绿化养护、景观水系、监控系统、单元门禁及其它设施日常维修保养费和日常运行公摊水电费，电梯电费、间接供水电费，按照地方物价主管部门指导价预收取，执行公示原则。</w:t>
      </w:r>
    </w:p>
    <w:p>
      <w:pPr>
        <w:spacing w:line="360" w:lineRule="auto"/>
        <w:ind w:firstLine="480" w:firstLineChars="200"/>
        <w:rPr>
          <w:rFonts w:hint="eastAsia" w:ascii="宋体" w:hAnsi="宋体"/>
          <w:color w:val="000000"/>
          <w:sz w:val="24"/>
          <w:szCs w:val="28"/>
          <w:highlight w:val="none"/>
        </w:rPr>
      </w:pPr>
      <w:r>
        <w:rPr>
          <w:rFonts w:hint="eastAsia" w:ascii="宋体" w:hAnsi="宋体"/>
          <w:color w:val="000000"/>
          <w:sz w:val="24"/>
          <w:szCs w:val="28"/>
          <w:highlight w:val="none"/>
        </w:rPr>
        <w:t>5、一年度概算：</w:t>
      </w:r>
      <w:r>
        <w:rPr>
          <w:rFonts w:hint="eastAsia" w:ascii="宋体" w:hAnsi="宋体"/>
          <w:color w:val="000000"/>
          <w:sz w:val="24"/>
          <w:szCs w:val="28"/>
          <w:highlight w:val="none"/>
          <w:lang w:val="en-US" w:eastAsia="zh-CN"/>
        </w:rPr>
        <w:t>220万</w:t>
      </w:r>
      <w:r>
        <w:rPr>
          <w:rFonts w:hint="eastAsia" w:ascii="宋体" w:hAnsi="宋体"/>
          <w:color w:val="000000"/>
          <w:sz w:val="24"/>
          <w:szCs w:val="28"/>
          <w:highlight w:val="none"/>
        </w:rPr>
        <w:t>元左右；</w:t>
      </w:r>
    </w:p>
    <w:p>
      <w:pPr>
        <w:spacing w:line="360" w:lineRule="auto"/>
        <w:ind w:firstLine="480" w:firstLineChars="200"/>
        <w:rPr>
          <w:rFonts w:hint="eastAsia" w:ascii="宋体" w:hAnsi="宋体"/>
          <w:sz w:val="24"/>
          <w:szCs w:val="28"/>
        </w:rPr>
      </w:pPr>
      <w:r>
        <w:rPr>
          <w:rFonts w:hint="eastAsia" w:ascii="宋体" w:hAnsi="宋体"/>
          <w:sz w:val="24"/>
          <w:szCs w:val="28"/>
        </w:rPr>
        <w:t>6、物业管理岗位人员配置不得低于标准要求。各岗位人员工资不得低于同行业较高水平。各上岗人员物业管理公司必须按照劳动法所规定内容签订合同，并按照政府相关部门规定购买社会保险；</w:t>
      </w:r>
    </w:p>
    <w:p>
      <w:pPr>
        <w:spacing w:line="360" w:lineRule="auto"/>
        <w:ind w:firstLine="480" w:firstLineChars="200"/>
        <w:rPr>
          <w:rFonts w:hint="eastAsia" w:ascii="宋体" w:hAnsi="宋体"/>
          <w:sz w:val="24"/>
          <w:szCs w:val="28"/>
        </w:rPr>
      </w:pPr>
      <w:r>
        <w:rPr>
          <w:rFonts w:hint="eastAsia" w:ascii="宋体" w:hAnsi="宋体"/>
          <w:sz w:val="24"/>
          <w:szCs w:val="28"/>
        </w:rPr>
        <w:t>7、为了保障小区物业服务品质，物业公司人力资源及管理费用应满足招标要求，相关人员提供学历证明复印件、从业资格证书，并承诺合同期内按时保质进驻小区进行服务工作。</w:t>
      </w:r>
    </w:p>
    <w:p>
      <w:pPr>
        <w:autoSpaceDE w:val="0"/>
        <w:autoSpaceDN w:val="0"/>
        <w:adjustRightInd w:val="0"/>
        <w:spacing w:line="360" w:lineRule="auto"/>
        <w:jc w:val="left"/>
        <w:rPr>
          <w:rFonts w:hint="eastAsia" w:ascii="宋体" w:hAnsi="宋体"/>
          <w:b/>
          <w:sz w:val="24"/>
          <w:szCs w:val="18"/>
        </w:rPr>
      </w:pPr>
      <w:r>
        <w:rPr>
          <w:rFonts w:hint="eastAsia" w:ascii="宋体" w:hAnsi="宋体"/>
          <w:b/>
          <w:sz w:val="24"/>
          <w:szCs w:val="18"/>
        </w:rPr>
        <w:t>五、服务合同的签订说明</w:t>
      </w:r>
    </w:p>
    <w:p>
      <w:pPr>
        <w:spacing w:line="360" w:lineRule="auto"/>
        <w:ind w:firstLine="480" w:firstLineChars="200"/>
        <w:rPr>
          <w:rFonts w:ascii="宋体" w:hAnsi="宋体"/>
          <w:sz w:val="24"/>
          <w:szCs w:val="28"/>
        </w:rPr>
      </w:pPr>
      <w:r>
        <w:rPr>
          <w:rFonts w:hint="eastAsia" w:ascii="宋体" w:hAnsi="宋体"/>
          <w:color w:val="auto"/>
          <w:sz w:val="24"/>
          <w:szCs w:val="28"/>
          <w:highlight w:val="none"/>
        </w:rPr>
        <w:t>1、物业服务合同期限</w:t>
      </w:r>
      <w:r>
        <w:rPr>
          <w:rFonts w:hint="eastAsia" w:ascii="宋体" w:hAnsi="宋体"/>
          <w:color w:val="auto"/>
          <w:sz w:val="24"/>
          <w:szCs w:val="28"/>
          <w:highlight w:val="none"/>
          <w:lang w:eastAsia="zh-CN"/>
        </w:rPr>
        <w:t>五</w:t>
      </w:r>
      <w:r>
        <w:rPr>
          <w:rFonts w:hint="eastAsia" w:ascii="宋体" w:hAnsi="宋体"/>
          <w:color w:val="auto"/>
          <w:sz w:val="24"/>
          <w:szCs w:val="28"/>
          <w:highlight w:val="none"/>
        </w:rPr>
        <w:t>年</w:t>
      </w:r>
      <w:r>
        <w:rPr>
          <w:rFonts w:hint="eastAsia" w:ascii="宋体" w:hAnsi="宋体"/>
          <w:color w:val="C00000"/>
          <w:sz w:val="24"/>
          <w:szCs w:val="28"/>
          <w:highlight w:val="none"/>
        </w:rPr>
        <w:t>；</w:t>
      </w:r>
      <w:r>
        <w:rPr>
          <w:rFonts w:hint="eastAsia" w:ascii="宋体" w:hAnsi="宋体"/>
          <w:sz w:val="24"/>
          <w:szCs w:val="28"/>
        </w:rPr>
        <w:t>若合同期满甲乙双方无异议，则合同顺延。期间业主委员会成立，则由业委会选聘物业服务单位后，甲乙双方即为合同自行终止。</w:t>
      </w:r>
    </w:p>
    <w:p>
      <w:pPr>
        <w:spacing w:line="360" w:lineRule="auto"/>
        <w:ind w:firstLine="480" w:firstLineChars="200"/>
        <w:rPr>
          <w:rFonts w:hint="eastAsia" w:ascii="宋体" w:hAnsi="宋体"/>
          <w:sz w:val="24"/>
          <w:szCs w:val="28"/>
        </w:rPr>
      </w:pPr>
      <w:r>
        <w:rPr>
          <w:rFonts w:hint="eastAsia" w:ascii="宋体" w:hAnsi="宋体"/>
          <w:sz w:val="24"/>
          <w:szCs w:val="28"/>
        </w:rPr>
        <w:t>2、如中标单位物业管理服务标准、人员配备数量、任职要求等低于本招标方案规定，工资水平低于同类型项目工资标准，造成服务不达标，业主投诉达5%，甲方根据约定处理，造成的影响和损失由中标人承担。</w:t>
      </w:r>
    </w:p>
    <w:p>
      <w:pPr>
        <w:spacing w:line="360" w:lineRule="auto"/>
        <w:ind w:firstLine="480" w:firstLineChars="200"/>
        <w:rPr>
          <w:rFonts w:hint="eastAsia" w:ascii="宋体" w:hAnsi="宋体"/>
          <w:sz w:val="24"/>
          <w:szCs w:val="28"/>
        </w:rPr>
      </w:pPr>
      <w:r>
        <w:rPr>
          <w:rFonts w:hint="eastAsia" w:ascii="宋体" w:hAnsi="宋体"/>
          <w:sz w:val="24"/>
          <w:szCs w:val="28"/>
        </w:rPr>
        <w:t>3、甲方房屋交付前30日乙方需安排所有管理人员进场和一线作业人员进场，认真做好准备迎接业主入住工作；</w:t>
      </w:r>
    </w:p>
    <w:p>
      <w:pPr>
        <w:spacing w:line="360" w:lineRule="auto"/>
        <w:ind w:firstLine="480" w:firstLineChars="200"/>
        <w:rPr>
          <w:rFonts w:hint="eastAsia" w:ascii="宋体" w:hAnsi="宋体" w:eastAsia="宋体"/>
          <w:sz w:val="24"/>
          <w:szCs w:val="28"/>
          <w:lang w:val="en-US" w:eastAsia="zh-CN"/>
        </w:rPr>
      </w:pPr>
      <w:r>
        <w:rPr>
          <w:rFonts w:hint="eastAsia" w:ascii="宋体" w:hAnsi="宋体"/>
          <w:sz w:val="24"/>
          <w:szCs w:val="28"/>
        </w:rPr>
        <w:t>4、住宅物业管理服务费用按照产权登记面积计算；小区车辆停放服务收费标准参照桐城市发改委和桐城市住建局制定桐发改价（2021）190号关于印发《桐城市住宅小区物业服务收费管理办法》的文件A级服务标准执行</w:t>
      </w:r>
      <w:r>
        <w:rPr>
          <w:rFonts w:hint="eastAsia" w:ascii="宋体" w:hAnsi="宋体"/>
          <w:sz w:val="24"/>
          <w:szCs w:val="28"/>
          <w:lang w:val="en-US" w:eastAsia="zh-CN"/>
        </w:rPr>
        <w:t>.</w:t>
      </w:r>
    </w:p>
    <w:p>
      <w:pPr>
        <w:spacing w:line="360" w:lineRule="auto"/>
        <w:ind w:firstLine="480" w:firstLineChars="200"/>
        <w:rPr>
          <w:rFonts w:hint="eastAsia" w:ascii="宋体" w:hAnsi="宋体"/>
          <w:sz w:val="24"/>
          <w:szCs w:val="28"/>
        </w:rPr>
      </w:pPr>
      <w:r>
        <w:rPr>
          <w:rFonts w:hint="eastAsia" w:ascii="宋体" w:hAnsi="宋体"/>
          <w:sz w:val="24"/>
          <w:szCs w:val="28"/>
        </w:rPr>
        <w:t>7、乙方应保证依据有关规定进行账务公开；</w:t>
      </w:r>
    </w:p>
    <w:p>
      <w:pPr>
        <w:spacing w:line="360" w:lineRule="auto"/>
        <w:ind w:firstLine="480" w:firstLineChars="200"/>
        <w:rPr>
          <w:rFonts w:hint="eastAsia" w:ascii="宋体" w:hAnsi="宋体"/>
          <w:sz w:val="24"/>
          <w:szCs w:val="28"/>
        </w:rPr>
      </w:pPr>
      <w:r>
        <w:rPr>
          <w:rFonts w:hint="eastAsia" w:ascii="宋体" w:hAnsi="宋体"/>
          <w:sz w:val="24"/>
          <w:szCs w:val="28"/>
        </w:rPr>
        <w:t>8、中标公布之日起30日内签约，否则视为违约。</w:t>
      </w:r>
    </w:p>
    <w:p>
      <w:pPr>
        <w:autoSpaceDE w:val="0"/>
        <w:autoSpaceDN w:val="0"/>
        <w:adjustRightInd w:val="0"/>
        <w:spacing w:line="360" w:lineRule="auto"/>
        <w:jc w:val="left"/>
        <w:rPr>
          <w:rFonts w:hint="eastAsia" w:ascii="宋体" w:hAnsi="宋体"/>
          <w:b/>
          <w:sz w:val="24"/>
          <w:szCs w:val="18"/>
        </w:rPr>
      </w:pPr>
      <w:r>
        <w:rPr>
          <w:rFonts w:hint="eastAsia" w:ascii="宋体" w:hAnsi="宋体"/>
          <w:b/>
          <w:sz w:val="24"/>
          <w:szCs w:val="18"/>
        </w:rPr>
        <w:t>六、评标办法：</w:t>
      </w:r>
    </w:p>
    <w:p>
      <w:pPr>
        <w:spacing w:line="360" w:lineRule="auto"/>
        <w:ind w:firstLine="480" w:firstLineChars="200"/>
        <w:rPr>
          <w:rFonts w:hint="eastAsia" w:ascii="宋体" w:hAnsi="宋体"/>
          <w:sz w:val="24"/>
          <w:szCs w:val="28"/>
        </w:rPr>
      </w:pPr>
      <w:r>
        <w:rPr>
          <w:rFonts w:hint="eastAsia" w:ascii="宋体" w:hAnsi="宋体"/>
          <w:sz w:val="24"/>
          <w:szCs w:val="28"/>
        </w:rPr>
        <w:t>本次项目评标采用综合评分法。</w:t>
      </w:r>
    </w:p>
    <w:p>
      <w:pPr>
        <w:spacing w:line="360" w:lineRule="auto"/>
        <w:rPr>
          <w:rFonts w:hint="eastAsia" w:ascii="宋体" w:hAnsi="宋体"/>
          <w:b w:val="0"/>
          <w:bCs w:val="0"/>
          <w:kern w:val="0"/>
          <w:sz w:val="24"/>
        </w:rPr>
      </w:pPr>
      <w:r>
        <w:rPr>
          <w:rFonts w:hint="eastAsia" w:ascii="宋体" w:hAnsi="宋体"/>
          <w:b w:val="0"/>
          <w:bCs w:val="0"/>
          <w:kern w:val="0"/>
          <w:sz w:val="24"/>
          <w:szCs w:val="24"/>
        </w:rPr>
        <w:t>七、费用测算要求：</w:t>
      </w:r>
    </w:p>
    <w:p>
      <w:pPr>
        <w:spacing w:line="360" w:lineRule="auto"/>
        <w:rPr>
          <w:rFonts w:hint="eastAsia" w:ascii="宋体" w:hAnsi="宋体"/>
          <w:b w:val="0"/>
          <w:bCs w:val="0"/>
          <w:kern w:val="0"/>
          <w:sz w:val="24"/>
        </w:rPr>
      </w:pPr>
      <w:r>
        <w:rPr>
          <w:rFonts w:hint="eastAsia" w:ascii="宋体" w:hAnsi="宋体"/>
          <w:b w:val="0"/>
          <w:bCs w:val="0"/>
          <w:kern w:val="0"/>
          <w:sz w:val="24"/>
        </w:rPr>
        <w:t>1、请投标人自行核算费用，人员工资不低于桐城市最低工资标准1430元，根据桐城市五险相关标准规定，社保最低缴费基数为3429.11元，单位缴费比例为23.7%须承担社保等五险费用812.70元/人/月，个人缴费比例为10.5%须承担社保等五险费用360.06元/人/月，人员工资及社保等五险费用低于上述标准的，视作该投标为无效投标。</w:t>
      </w:r>
    </w:p>
    <w:p>
      <w:pPr>
        <w:spacing w:line="360" w:lineRule="auto"/>
        <w:rPr>
          <w:rFonts w:hint="eastAsia" w:ascii="宋体" w:hAnsi="宋体"/>
          <w:kern w:val="0"/>
          <w:sz w:val="24"/>
        </w:rPr>
      </w:pPr>
      <w:r>
        <w:rPr>
          <w:rFonts w:hint="eastAsia" w:ascii="宋体" w:hAnsi="宋体"/>
          <w:kern w:val="0"/>
          <w:sz w:val="24"/>
        </w:rPr>
        <w:t>2、“投标报价表”中政策性费用及规定费用不接受赠送及优惠，“投标报价表”中其他项，作为可竞争费用，可由投标人自行报价。</w:t>
      </w:r>
    </w:p>
    <w:p>
      <w:pPr>
        <w:spacing w:line="360" w:lineRule="auto"/>
        <w:rPr>
          <w:rFonts w:hint="eastAsia" w:ascii="宋体" w:hAnsi="宋体"/>
          <w:kern w:val="0"/>
          <w:sz w:val="24"/>
          <w:szCs w:val="24"/>
        </w:rPr>
      </w:pPr>
      <w:r>
        <w:rPr>
          <w:rFonts w:hint="eastAsia" w:ascii="宋体" w:hAnsi="宋体"/>
          <w:kern w:val="0"/>
          <w:sz w:val="24"/>
          <w:szCs w:val="24"/>
        </w:rPr>
        <w:t>3、中标人应按桐城市行业主管部门的规定办理相关手续(如备案等)。</w:t>
      </w:r>
    </w:p>
    <w:p>
      <w:pPr>
        <w:spacing w:line="360" w:lineRule="auto"/>
        <w:rPr>
          <w:rFonts w:hint="eastAsia" w:ascii="宋体" w:hAnsi="宋体" w:eastAsia="宋体"/>
          <w:kern w:val="0"/>
          <w:sz w:val="24"/>
          <w:szCs w:val="24"/>
          <w:lang w:val="en-US" w:eastAsia="zh-CN"/>
        </w:rPr>
      </w:pPr>
      <w:r>
        <w:rPr>
          <w:rFonts w:hint="eastAsia" w:ascii="宋体" w:hAnsi="宋体"/>
          <w:kern w:val="0"/>
          <w:sz w:val="24"/>
          <w:szCs w:val="24"/>
        </w:rPr>
        <w:t>4、其他未尽事宜，参照桐城市发改委和桐城市住建局制定桐发改价（2021）190号关于印发《桐城市住宅小区物业服务收费管理办法》的文件A级服务标准执行</w:t>
      </w:r>
      <w:r>
        <w:rPr>
          <w:rFonts w:hint="eastAsia" w:ascii="宋体" w:hAnsi="宋体"/>
          <w:kern w:val="0"/>
          <w:sz w:val="24"/>
          <w:szCs w:val="24"/>
          <w:lang w:val="en-US" w:eastAsia="zh-CN"/>
        </w:rPr>
        <w:t>.</w:t>
      </w:r>
    </w:p>
    <w:p>
      <w:pPr>
        <w:spacing w:line="360" w:lineRule="auto"/>
        <w:ind w:firstLine="482" w:firstLineChars="200"/>
        <w:rPr>
          <w:rFonts w:hint="eastAsia" w:ascii="宋体" w:hAnsi="宋体"/>
          <w:b/>
          <w:sz w:val="24"/>
          <w:szCs w:val="28"/>
        </w:rPr>
      </w:pPr>
      <w:r>
        <w:rPr>
          <w:rFonts w:hint="eastAsia" w:ascii="宋体" w:hAnsi="宋体"/>
          <w:b/>
          <w:sz w:val="24"/>
          <w:szCs w:val="28"/>
        </w:rPr>
        <w:t>八、关于招标的有关说明</w:t>
      </w:r>
    </w:p>
    <w:p>
      <w:pPr>
        <w:spacing w:line="360" w:lineRule="auto"/>
        <w:ind w:firstLine="480" w:firstLineChars="200"/>
        <w:rPr>
          <w:rFonts w:hint="eastAsia" w:ascii="宋体" w:hAnsi="宋体"/>
          <w:sz w:val="24"/>
          <w:szCs w:val="24"/>
          <w:highlight w:val="none"/>
        </w:rPr>
      </w:pPr>
      <w:r>
        <w:rPr>
          <w:rFonts w:hint="eastAsia" w:ascii="宋体" w:hAnsi="宋体"/>
          <w:sz w:val="24"/>
          <w:szCs w:val="24"/>
        </w:rPr>
        <w:t>1、</w:t>
      </w:r>
      <w:r>
        <w:rPr>
          <w:rFonts w:hint="eastAsia" w:ascii="宋体" w:hAnsi="宋体"/>
          <w:sz w:val="24"/>
          <w:szCs w:val="24"/>
          <w:highlight w:val="none"/>
        </w:rPr>
        <w:t>如中标人服务标准和人员配置要求不符合招标文件及合同要求，采购人可按合同约定解除合同。</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、相关证明材料采购人有权在签订合同前核查。中标人须保证按照投标文件承诺的拟任人员配置，为本项目服务，否则采购人有权拒签合同。</w:t>
      </w:r>
    </w:p>
    <w:p>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、本项目采购人按照行业规定提供开办费，中标人不得以任何理由增加此项费用。</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、一旦参与投标，视为投标人完全同意本招标文件所有条款规定的内容（包括合同主要条款的内容），本招标文件中关于中标人应享受的权利和应履行的义务均可以写入采购人与中标人签订的合同中。</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中标人应保证依据有关规定实行账务公开。</w:t>
      </w:r>
    </w:p>
    <w:p>
      <w:pPr>
        <w:spacing w:line="360" w:lineRule="auto"/>
        <w:ind w:firstLine="480" w:firstLineChars="200"/>
        <w:rPr>
          <w:rFonts w:hint="eastAsia" w:ascii="宋体" w:hAnsi="宋体"/>
          <w:sz w:val="24"/>
          <w:szCs w:val="24"/>
        </w:rPr>
      </w:pPr>
      <w:r>
        <w:rPr>
          <w:rFonts w:hint="eastAsia" w:ascii="宋体" w:hAnsi="宋体"/>
          <w:sz w:val="24"/>
          <w:szCs w:val="24"/>
        </w:rPr>
        <w:t>10、中标公布之日起30日内签约，否则视为违约。</w:t>
      </w:r>
    </w:p>
    <w:p>
      <w:pPr>
        <w:spacing w:line="360" w:lineRule="auto"/>
        <w:ind w:firstLine="480" w:firstLineChars="200"/>
        <w:rPr>
          <w:rFonts w:hint="eastAsia" w:ascii="宋体" w:hAnsi="宋体"/>
          <w:sz w:val="24"/>
          <w:szCs w:val="24"/>
        </w:rPr>
      </w:pPr>
      <w:r>
        <w:rPr>
          <w:rFonts w:hint="eastAsia" w:ascii="宋体" w:hAnsi="宋体"/>
          <w:sz w:val="24"/>
          <w:szCs w:val="24"/>
        </w:rPr>
        <w:t>11、采购人与中标人必须严格按照招标文件、投标文件及有关承诺签订采购合同，不得擅自变更。</w:t>
      </w:r>
    </w:p>
    <w:p>
      <w:pPr>
        <w:spacing w:line="360" w:lineRule="auto"/>
        <w:ind w:firstLine="480" w:firstLineChars="200"/>
        <w:rPr>
          <w:rFonts w:hint="eastAsia" w:ascii="宋体" w:hAnsi="宋体"/>
          <w:sz w:val="24"/>
          <w:szCs w:val="24"/>
        </w:rPr>
      </w:pPr>
      <w:r>
        <w:rPr>
          <w:rFonts w:hint="eastAsia" w:ascii="宋体" w:hAnsi="宋体"/>
          <w:sz w:val="24"/>
          <w:szCs w:val="24"/>
        </w:rPr>
        <w:t>12、</w:t>
      </w:r>
      <w:r>
        <w:rPr>
          <w:rFonts w:hint="eastAsia" w:ascii="宋体" w:hAnsi="宋体"/>
          <w:color w:val="C00000"/>
          <w:sz w:val="24"/>
          <w:szCs w:val="24"/>
        </w:rPr>
        <w:t xml:space="preserve">  </w:t>
      </w:r>
      <w:r>
        <w:rPr>
          <w:rFonts w:hint="eastAsia" w:ascii="宋体" w:hAnsi="宋体"/>
          <w:sz w:val="24"/>
          <w:szCs w:val="24"/>
        </w:rPr>
        <w:t xml:space="preserve"> 如中标人达不到《物业服务合同》</w:t>
      </w:r>
      <w:r>
        <w:rPr>
          <w:rFonts w:hint="eastAsia" w:ascii="宋体" w:hAnsi="宋体"/>
          <w:sz w:val="24"/>
          <w:szCs w:val="24"/>
          <w:lang w:val="en-US" w:eastAsia="zh-CN"/>
        </w:rPr>
        <w:t>约</w:t>
      </w:r>
      <w:r>
        <w:rPr>
          <w:rFonts w:hint="eastAsia" w:ascii="宋体" w:hAnsi="宋体"/>
          <w:sz w:val="24"/>
          <w:szCs w:val="24"/>
        </w:rPr>
        <w:t xml:space="preserve">定的服务标准，招标人将有权终止合同。   </w:t>
      </w:r>
    </w:p>
    <w:p>
      <w:pPr>
        <w:pStyle w:val="4"/>
        <w:spacing w:line="500" w:lineRule="exact"/>
        <w:ind w:firstLine="0"/>
        <w:rPr>
          <w:rFonts w:hint="eastAsia" w:ascii="宋体" w:hAnsi="宋体" w:eastAsia="宋体"/>
        </w:rPr>
      </w:pPr>
      <w:r>
        <w:rPr>
          <w:rFonts w:hint="eastAsia" w:ascii="宋体" w:hAnsi="宋体" w:eastAsia="宋体"/>
        </w:rPr>
        <w:br w:type="page"/>
      </w:r>
      <w:r>
        <w:rPr>
          <w:rFonts w:hint="eastAsia" w:ascii="宋体" w:hAnsi="宋体" w:eastAsia="宋体"/>
        </w:rPr>
        <w:t>第</w:t>
      </w:r>
      <w:bookmarkStart w:id="14" w:name="_Hlt240110027"/>
      <w:bookmarkEnd w:id="14"/>
      <w:r>
        <w:rPr>
          <w:rFonts w:hint="eastAsia" w:ascii="宋体" w:hAnsi="宋体" w:eastAsia="宋体"/>
        </w:rPr>
        <w:t>四章 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b/>
          <w:sz w:val="24"/>
        </w:rPr>
      </w:pPr>
      <w:r>
        <w:rPr>
          <w:rFonts w:hint="eastAsia" w:ascii="宋体" w:hAnsi="宋体"/>
          <w:b/>
          <w:sz w:val="24"/>
        </w:rPr>
        <w:t>一．总  则</w:t>
      </w:r>
    </w:p>
    <w:p>
      <w:pPr>
        <w:adjustRightInd w:val="0"/>
        <w:snapToGrid w:val="0"/>
        <w:spacing w:line="360" w:lineRule="auto"/>
        <w:ind w:right="-10" w:firstLine="422" w:firstLineChars="175"/>
        <w:rPr>
          <w:rFonts w:hint="eastAsia" w:ascii="宋体" w:hAnsi="宋体"/>
          <w:sz w:val="24"/>
        </w:rPr>
      </w:pPr>
      <w:r>
        <w:rPr>
          <w:rFonts w:hint="eastAsia" w:ascii="宋体" w:hAnsi="宋体"/>
          <w:b/>
          <w:sz w:val="24"/>
        </w:rPr>
        <w:t xml:space="preserve">第一条 </w:t>
      </w:r>
      <w:r>
        <w:rPr>
          <w:rFonts w:hint="eastAsia" w:ascii="宋体" w:hAnsi="宋体"/>
          <w:sz w:val="24"/>
        </w:rPr>
        <w:t>为了做好</w:t>
      </w:r>
      <w:r>
        <w:rPr>
          <w:rFonts w:hint="eastAsia" w:ascii="宋体" w:hAnsi="宋体"/>
          <w:bCs/>
          <w:sz w:val="24"/>
          <w:szCs w:val="18"/>
        </w:rPr>
        <w:t>桐城市</w:t>
      </w:r>
      <w:r>
        <w:rPr>
          <w:rFonts w:hint="eastAsia" w:ascii="宋体" w:hAnsi="宋体"/>
          <w:sz w:val="24"/>
        </w:rPr>
        <w:t>服务项目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hint="eastAsia" w:ascii="宋体" w:hAnsi="宋体"/>
          <w:sz w:val="24"/>
        </w:rPr>
      </w:pPr>
      <w:r>
        <w:rPr>
          <w:rFonts w:hint="eastAsia" w:ascii="宋体" w:hAnsi="宋体"/>
          <w:b/>
          <w:bCs/>
          <w:sz w:val="24"/>
        </w:rPr>
        <w:t xml:space="preserve">第二条 </w:t>
      </w:r>
      <w:r>
        <w:rPr>
          <w:rFonts w:hint="eastAsia" w:ascii="宋体" w:hAnsi="宋体"/>
          <w:sz w:val="24"/>
        </w:rPr>
        <w:t>本次项目评标采用综合评分法作为对投标人标书的比较方法。</w:t>
      </w:r>
    </w:p>
    <w:p>
      <w:pPr>
        <w:adjustRightInd w:val="0"/>
        <w:snapToGrid w:val="0"/>
        <w:spacing w:line="360" w:lineRule="auto"/>
        <w:ind w:left="-61" w:leftChars="-29" w:right="-10" w:firstLine="482" w:firstLineChars="200"/>
        <w:rPr>
          <w:rFonts w:hint="eastAsia" w:ascii="宋体" w:hAnsi="宋体"/>
          <w:sz w:val="24"/>
        </w:rPr>
      </w:pPr>
      <w:r>
        <w:rPr>
          <w:rFonts w:hint="eastAsia" w:ascii="宋体" w:hAnsi="宋体"/>
          <w:b/>
          <w:sz w:val="24"/>
        </w:rPr>
        <w:t xml:space="preserve">第三条 </w:t>
      </w:r>
      <w:r>
        <w:rPr>
          <w:rFonts w:hint="eastAsia" w:ascii="宋体" w:hAnsi="宋体"/>
          <w:bCs/>
          <w:sz w:val="24"/>
          <w:lang w:val="en-US" w:eastAsia="zh-CN"/>
        </w:rPr>
        <w:t>物业主</w:t>
      </w:r>
      <w:r>
        <w:rPr>
          <w:rFonts w:hint="eastAsia" w:ascii="宋体" w:hAnsi="宋体"/>
          <w:sz w:val="24"/>
        </w:rPr>
        <w:t>管部门</w:t>
      </w:r>
      <w:r>
        <w:rPr>
          <w:rFonts w:hint="eastAsia" w:ascii="宋体" w:hAnsi="宋体"/>
          <w:bCs/>
          <w:sz w:val="24"/>
        </w:rPr>
        <w:t>负责抽取组织</w:t>
      </w:r>
      <w:r>
        <w:rPr>
          <w:rFonts w:hint="eastAsia" w:ascii="宋体" w:hAnsi="宋体"/>
          <w:bCs/>
          <w:sz w:val="24"/>
          <w:u w:val="single"/>
        </w:rPr>
        <w:t xml:space="preserve"> 5</w:t>
      </w:r>
      <w:r>
        <w:rPr>
          <w:rFonts w:hint="eastAsia" w:ascii="宋体" w:hAnsi="宋体"/>
          <w:b/>
          <w:sz w:val="24"/>
          <w:u w:val="single"/>
        </w:rPr>
        <w:t xml:space="preserve"> </w:t>
      </w:r>
      <w:r>
        <w:rPr>
          <w:rFonts w:hint="eastAsia" w:ascii="宋体" w:hAnsi="宋体"/>
          <w:sz w:val="24"/>
        </w:rPr>
        <w:t>人组成的评标委员会（以下简称评委会），负责本项目的评标工作。</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评委会按照“客观公正，实事求是”的原则，评价参加本次招标的投标人所提供的产品或服务价格、性能、质量、服务及对招标文件的符合性及响应性。</w:t>
      </w:r>
    </w:p>
    <w:p>
      <w:pPr>
        <w:adjustRightInd w:val="0"/>
        <w:snapToGrid w:val="0"/>
        <w:spacing w:line="360" w:lineRule="auto"/>
        <w:ind w:right="-10"/>
        <w:jc w:val="center"/>
        <w:rPr>
          <w:rFonts w:hint="eastAsia" w:ascii="宋体" w:hAnsi="宋体"/>
          <w:sz w:val="24"/>
        </w:rPr>
      </w:pPr>
      <w:r>
        <w:rPr>
          <w:rFonts w:hint="eastAsia" w:ascii="宋体" w:hAnsi="宋体"/>
          <w:b/>
          <w:sz w:val="24"/>
        </w:rPr>
        <w:t>二．评标程序及评审细则</w:t>
      </w:r>
    </w:p>
    <w:p>
      <w:pPr>
        <w:adjustRightInd w:val="0"/>
        <w:snapToGrid w:val="0"/>
        <w:spacing w:line="360" w:lineRule="auto"/>
        <w:ind w:right="-10" w:firstLine="480"/>
        <w:rPr>
          <w:rFonts w:hint="eastAsia" w:ascii="宋体" w:hAnsi="宋体"/>
          <w:sz w:val="24"/>
        </w:rPr>
      </w:pPr>
      <w:r>
        <w:rPr>
          <w:rFonts w:hint="eastAsia" w:ascii="宋体" w:hAnsi="宋体"/>
          <w:b/>
          <w:sz w:val="24"/>
        </w:rPr>
        <w:t>第五条</w:t>
      </w:r>
      <w:r>
        <w:rPr>
          <w:rFonts w:hint="eastAsia" w:ascii="宋体" w:hAnsi="宋体"/>
          <w:sz w:val="24"/>
        </w:rPr>
        <w:t xml:space="preserve"> 评标工作于开标后进行。评委会应认真研究招标文件，至少应了解和熟悉以下内容：</w:t>
      </w:r>
    </w:p>
    <w:p>
      <w:pPr>
        <w:spacing w:line="360" w:lineRule="auto"/>
        <w:ind w:left="480" w:right="-10"/>
        <w:rPr>
          <w:rFonts w:hint="eastAsia" w:ascii="宋体" w:hAnsi="宋体"/>
          <w:sz w:val="24"/>
        </w:rPr>
      </w:pPr>
      <w:r>
        <w:rPr>
          <w:rFonts w:hint="eastAsia" w:ascii="宋体" w:hAnsi="宋体"/>
          <w:sz w:val="24"/>
        </w:rPr>
        <w:t>（一）招标的目标；</w:t>
      </w:r>
    </w:p>
    <w:p>
      <w:pPr>
        <w:spacing w:line="360" w:lineRule="auto"/>
        <w:ind w:left="480" w:right="-10"/>
        <w:rPr>
          <w:rFonts w:hint="eastAsia" w:ascii="宋体" w:hAnsi="宋体"/>
          <w:sz w:val="24"/>
        </w:rPr>
      </w:pPr>
      <w:r>
        <w:rPr>
          <w:rFonts w:hint="eastAsia" w:ascii="宋体" w:hAnsi="宋体"/>
          <w:sz w:val="24"/>
        </w:rPr>
        <w:t>（二）招标项目的范围和性质；</w:t>
      </w:r>
    </w:p>
    <w:p>
      <w:pPr>
        <w:spacing w:line="360" w:lineRule="auto"/>
        <w:ind w:left="480" w:right="-10"/>
        <w:rPr>
          <w:rFonts w:hint="eastAsia" w:ascii="宋体" w:hAnsi="宋体"/>
          <w:sz w:val="24"/>
        </w:rPr>
      </w:pPr>
      <w:r>
        <w:rPr>
          <w:rFonts w:hint="eastAsia" w:ascii="宋体" w:hAnsi="宋体"/>
          <w:sz w:val="24"/>
        </w:rPr>
        <w:t>（三）招标文件中规定的主要技术要求、标准和商务条款；</w:t>
      </w:r>
    </w:p>
    <w:p>
      <w:pPr>
        <w:spacing w:line="360" w:lineRule="auto"/>
        <w:ind w:left="480" w:right="-10"/>
        <w:rPr>
          <w:rFonts w:hint="eastAsia" w:ascii="宋体" w:hAnsi="宋体"/>
          <w:sz w:val="24"/>
        </w:rPr>
      </w:pPr>
      <w:r>
        <w:rPr>
          <w:rFonts w:hint="eastAsia" w:ascii="宋体" w:hAnsi="宋体"/>
          <w:sz w:val="24"/>
        </w:rPr>
        <w:t>（四）招标文件规定的评标标准、评标方法和在评标过程中考虑的相关因素。</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第六条</w:t>
      </w:r>
      <w:r>
        <w:rPr>
          <w:rFonts w:hint="eastAsia" w:ascii="宋体" w:hAnsi="宋体"/>
          <w:sz w:val="24"/>
        </w:rPr>
        <w:t xml:space="preserve"> 有效投标应符合以下原则：</w:t>
      </w:r>
    </w:p>
    <w:p>
      <w:pPr>
        <w:spacing w:line="360" w:lineRule="auto"/>
        <w:ind w:left="480" w:right="-10"/>
        <w:rPr>
          <w:rFonts w:hint="eastAsia" w:ascii="宋体" w:hAnsi="宋体"/>
          <w:sz w:val="24"/>
        </w:rPr>
      </w:pPr>
      <w:r>
        <w:rPr>
          <w:rFonts w:hint="eastAsia" w:ascii="宋体" w:hAnsi="宋体"/>
          <w:sz w:val="24"/>
        </w:rPr>
        <w:t>（一）满足招标文件的实质性要求；</w:t>
      </w:r>
    </w:p>
    <w:p>
      <w:pPr>
        <w:spacing w:line="360" w:lineRule="auto"/>
        <w:ind w:left="480" w:right="-10"/>
        <w:rPr>
          <w:rFonts w:hint="eastAsia" w:ascii="宋体" w:hAnsi="宋体"/>
          <w:sz w:val="24"/>
        </w:rPr>
      </w:pPr>
      <w:r>
        <w:rPr>
          <w:rFonts w:hint="eastAsia" w:ascii="宋体" w:hAnsi="宋体"/>
          <w:sz w:val="24"/>
        </w:rPr>
        <w:t>（二）无重大偏离、保留或招标人不能接受的附加条件；</w:t>
      </w:r>
    </w:p>
    <w:p>
      <w:pPr>
        <w:spacing w:line="360" w:lineRule="auto"/>
        <w:ind w:left="480" w:right="-10"/>
        <w:rPr>
          <w:rFonts w:hint="eastAsia" w:ascii="宋体" w:hAnsi="宋体"/>
          <w:sz w:val="24"/>
        </w:rPr>
      </w:pPr>
      <w:r>
        <w:rPr>
          <w:rFonts w:hint="eastAsia" w:ascii="宋体" w:hAnsi="宋体"/>
          <w:sz w:val="24"/>
        </w:rPr>
        <w:t>（三）通过初审；</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（四）评委会依据招标文件认定的其他原则。</w:t>
      </w:r>
    </w:p>
    <w:p>
      <w:pPr>
        <w:adjustRightInd w:val="0"/>
        <w:snapToGrid w:val="0"/>
        <w:spacing w:line="360" w:lineRule="auto"/>
        <w:ind w:right="-10" w:firstLine="482" w:firstLineChars="200"/>
        <w:rPr>
          <w:rFonts w:hint="eastAsia" w:ascii="宋体" w:hAnsi="宋体"/>
          <w:b/>
          <w:sz w:val="24"/>
        </w:rPr>
      </w:pPr>
      <w:r>
        <w:rPr>
          <w:rFonts w:hint="eastAsia" w:ascii="宋体" w:hAnsi="宋体"/>
          <w:b/>
          <w:sz w:val="24"/>
        </w:rPr>
        <w:t xml:space="preserve">第七条 </w:t>
      </w:r>
      <w:r>
        <w:rPr>
          <w:rFonts w:hint="eastAsia" w:ascii="宋体" w:hAnsi="宋体" w:cs="宋体-18030"/>
          <w:sz w:val="24"/>
        </w:rPr>
        <w:t>评委会遵循公开、公平、公正和科学诚信的原则，对所有投标文件均采用相同程序和标准，进行评定。</w:t>
      </w:r>
    </w:p>
    <w:p>
      <w:pPr>
        <w:ind w:firstLine="482" w:firstLineChars="200"/>
        <w:outlineLvl w:val="1"/>
        <w:rPr>
          <w:rFonts w:hint="eastAsia" w:ascii="宋体" w:hAnsi="宋体" w:cs="宋体-18030"/>
          <w:sz w:val="24"/>
        </w:rPr>
      </w:pPr>
      <w:r>
        <w:rPr>
          <w:rFonts w:hint="eastAsia" w:ascii="宋体" w:hAnsi="宋体"/>
          <w:b/>
          <w:sz w:val="24"/>
        </w:rPr>
        <w:t xml:space="preserve">第八条 </w:t>
      </w:r>
      <w:r>
        <w:rPr>
          <w:rFonts w:hint="eastAsia" w:ascii="宋体" w:hAnsi="宋体" w:cs="宋体-18030"/>
          <w:sz w:val="24"/>
        </w:rPr>
        <w:t>评审程序</w:t>
      </w:r>
    </w:p>
    <w:p>
      <w:pPr>
        <w:ind w:firstLine="480" w:firstLineChars="200"/>
        <w:outlineLvl w:val="9"/>
        <w:rPr>
          <w:rFonts w:hint="eastAsia" w:ascii="宋体" w:hAnsi="宋体" w:cs="宋体-18030"/>
          <w:sz w:val="24"/>
        </w:rPr>
      </w:pPr>
    </w:p>
    <w:p>
      <w:pPr>
        <w:ind w:firstLine="480" w:firstLineChars="200"/>
        <w:outlineLvl w:val="9"/>
        <w:rPr>
          <w:rFonts w:hint="eastAsia" w:ascii="宋体" w:hAnsi="宋体" w:cs="宋体-18030"/>
          <w:sz w:val="24"/>
        </w:rPr>
      </w:pPr>
    </w:p>
    <w:p>
      <w:pPr>
        <w:ind w:firstLine="480" w:firstLineChars="200"/>
        <w:outlineLvl w:val="1"/>
        <w:rPr>
          <w:rFonts w:hint="eastAsia" w:ascii="宋体" w:hAnsi="宋体" w:cs="宋体"/>
          <w:sz w:val="24"/>
          <w:szCs w:val="24"/>
        </w:rPr>
      </w:pPr>
      <w:r>
        <w:rPr>
          <w:rFonts w:hint="eastAsia" w:ascii="宋体" w:hAnsi="宋体" w:cs="宋体"/>
          <w:sz w:val="24"/>
          <w:szCs w:val="24"/>
        </w:rPr>
        <w:t>8.1初步评审标准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271"/>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6"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指标描述</w:t>
            </w:r>
          </w:p>
        </w:tc>
        <w:tc>
          <w:tcPr>
            <w:tcW w:w="5463" w:type="dxa"/>
            <w:noWrap w:val="0"/>
            <w:vAlign w:val="center"/>
          </w:tcPr>
          <w:p>
            <w:pPr>
              <w:jc w:val="center"/>
              <w:rPr>
                <w:rFonts w:hint="eastAsia" w:ascii="宋体" w:hAnsi="宋体" w:cs="宋体"/>
                <w:sz w:val="24"/>
                <w:szCs w:val="24"/>
              </w:rPr>
            </w:pPr>
            <w:r>
              <w:rPr>
                <w:rFonts w:hint="eastAsia" w:ascii="宋体" w:hAnsi="宋体" w:cs="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06"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投标函</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响应文件中的授权代表须与投标授权委托书中保持一 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106"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营业执照</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提供有效的营业执照和税务登记证的复印件或影印件，应完整的体现出营业执照和税务登记证的全部内容。已办理“三证合一”登记的，响应文件中提供营业执照复印件或影印件即可。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0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法定代表人或授权委托人</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授权代表参加投标的，须提供授权委托书及身份证复印件；法定代表人参加投标的，须提供身份证复印件。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标书的响应性</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是否响应招标文件的实质性要求。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0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标书的规范性</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未按规定的格式填写，编排混乱、无序、内容不全或字迹模糊，辨认不清为不规范。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0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2271" w:type="dxa"/>
            <w:noWrap w:val="0"/>
            <w:vAlign w:val="center"/>
          </w:tcPr>
          <w:p>
            <w:pPr>
              <w:jc w:val="center"/>
              <w:rPr>
                <w:rFonts w:hint="eastAsia" w:ascii="宋体" w:hAnsi="宋体" w:cs="宋体"/>
                <w:sz w:val="24"/>
                <w:szCs w:val="24"/>
              </w:rPr>
            </w:pPr>
            <w:r>
              <w:rPr>
                <w:rFonts w:hint="eastAsia" w:ascii="宋体" w:hAnsi="宋体" w:cs="宋体"/>
                <w:sz w:val="24"/>
                <w:szCs w:val="24"/>
              </w:rPr>
              <w:t>其它指标</w:t>
            </w:r>
          </w:p>
        </w:tc>
        <w:tc>
          <w:tcPr>
            <w:tcW w:w="5463" w:type="dxa"/>
            <w:noWrap w:val="0"/>
            <w:vAlign w:val="center"/>
          </w:tcPr>
          <w:p>
            <w:pPr>
              <w:rPr>
                <w:rFonts w:hint="eastAsia" w:ascii="宋体" w:hAnsi="宋体" w:cs="宋体"/>
                <w:sz w:val="24"/>
                <w:szCs w:val="24"/>
              </w:rPr>
            </w:pPr>
            <w:r>
              <w:rPr>
                <w:rFonts w:hint="eastAsia" w:ascii="宋体" w:hAnsi="宋体" w:cs="宋体"/>
                <w:sz w:val="24"/>
                <w:szCs w:val="24"/>
              </w:rPr>
              <w:t>符合招标文件和招标公告要求的其它情形。</w:t>
            </w:r>
          </w:p>
        </w:tc>
      </w:tr>
    </w:tbl>
    <w:p>
      <w:pPr>
        <w:rPr>
          <w:rFonts w:hint="eastAsia" w:ascii="宋体" w:hAnsi="宋体" w:cs="宋体"/>
          <w:sz w:val="24"/>
          <w:szCs w:val="24"/>
        </w:rPr>
      </w:pPr>
    </w:p>
    <w:p>
      <w:pPr>
        <w:outlineLvl w:val="1"/>
        <w:rPr>
          <w:rFonts w:hint="eastAsia" w:ascii="宋体" w:hAnsi="宋体" w:cs="宋体"/>
          <w:b/>
          <w:bCs/>
          <w:sz w:val="24"/>
          <w:szCs w:val="24"/>
        </w:rPr>
      </w:pPr>
      <w:r>
        <w:rPr>
          <w:rFonts w:hint="eastAsia" w:ascii="宋体" w:hAnsi="宋体" w:cs="宋体"/>
          <w:sz w:val="24"/>
          <w:szCs w:val="24"/>
        </w:rPr>
        <w:t>8.2综合评审</w:t>
      </w:r>
    </w:p>
    <w:p>
      <w:pPr>
        <w:spacing w:line="360" w:lineRule="auto"/>
        <w:ind w:firstLine="470" w:firstLineChars="196"/>
        <w:rPr>
          <w:rFonts w:hint="eastAsia" w:ascii="宋体" w:hAnsi="宋体" w:cs="宋体"/>
          <w:sz w:val="24"/>
          <w:szCs w:val="24"/>
        </w:rPr>
      </w:pPr>
      <w:r>
        <w:rPr>
          <w:rFonts w:hint="eastAsia" w:ascii="宋体" w:hAnsi="宋体" w:cs="宋体"/>
          <w:sz w:val="24"/>
          <w:szCs w:val="24"/>
        </w:rPr>
        <w:t>1、对响应文件进行综合评审。磋商小组只对通过初审，实质上响应磋商文件要求的响应文件按照下述指标表进行综合评审。</w:t>
      </w:r>
    </w:p>
    <w:p>
      <w:pPr>
        <w:spacing w:line="360" w:lineRule="auto"/>
        <w:ind w:firstLine="470" w:firstLineChars="196"/>
        <w:rPr>
          <w:rFonts w:hint="eastAsia" w:ascii="宋体" w:hAnsi="宋体" w:cs="宋体"/>
          <w:color w:val="000000"/>
          <w:sz w:val="24"/>
          <w:szCs w:val="24"/>
          <w:highlight w:val="none"/>
        </w:rPr>
      </w:pPr>
      <w:r>
        <w:rPr>
          <w:rFonts w:hint="eastAsia" w:ascii="宋体" w:hAnsi="宋体" w:cs="宋体"/>
          <w:color w:val="000000"/>
          <w:sz w:val="24"/>
          <w:szCs w:val="24"/>
          <w:highlight w:val="none"/>
        </w:rPr>
        <w:t>2、本项目技术分值占总分值的权重为</w:t>
      </w:r>
      <w:r>
        <w:rPr>
          <w:rFonts w:hint="eastAsia" w:ascii="宋体" w:hAnsi="宋体" w:cs="宋体"/>
          <w:color w:val="000000"/>
          <w:sz w:val="24"/>
          <w:szCs w:val="24"/>
          <w:highlight w:val="none"/>
          <w:u w:val="single"/>
        </w:rPr>
        <w:t xml:space="preserve"> 6</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rPr>
        <w:t xml:space="preserve"> %，资信分值占总分值的权重为  </w:t>
      </w:r>
      <w:r>
        <w:rPr>
          <w:rFonts w:hint="eastAsia" w:ascii="宋体" w:hAnsi="宋体" w:cs="宋体"/>
          <w:color w:val="000000"/>
          <w:sz w:val="24"/>
          <w:szCs w:val="24"/>
          <w:highlight w:val="none"/>
          <w:u w:val="single"/>
          <w:lang w:val="en-US" w:eastAsia="zh-CN"/>
        </w:rPr>
        <w:t>25</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%，价格分值占总分值的权重为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10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3、评分步骤如下：</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根据技术分的细则，磋商小组应对进入综合评审的所有供应商进行评分，并分别填写综合评审表。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技术分汇总方法为：对某一供应商的每一个指标项得分，取各位评委评分之平均值，保留至小数点后两位数，得到该供应商该指标项的得分。再将供应商每个指标项得分进行汇总，得到该供应商的技术分之和，即技术总得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8.3技术及资信分的综合评审指标详见下表： </w:t>
      </w:r>
    </w:p>
    <w:tbl>
      <w:tblPr>
        <w:tblStyle w:val="49"/>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5"/>
        <w:gridCol w:w="656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adjustRightInd w:val="0"/>
              <w:snapToGrid w:val="0"/>
              <w:spacing w:line="0" w:lineRule="atLeas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类别</w:t>
            </w:r>
          </w:p>
        </w:tc>
        <w:tc>
          <w:tcPr>
            <w:tcW w:w="1275" w:type="dxa"/>
            <w:noWrap w:val="0"/>
            <w:vAlign w:val="center"/>
          </w:tcPr>
          <w:p>
            <w:pPr>
              <w:adjustRightInd w:val="0"/>
              <w:snapToGrid w:val="0"/>
              <w:spacing w:line="0" w:lineRule="atLeast"/>
              <w:ind w:left="0" w:leftChars="0" w:firstLine="0" w:firstLineChars="0"/>
              <w:jc w:val="center"/>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类别名称</w:t>
            </w:r>
          </w:p>
        </w:tc>
        <w:tc>
          <w:tcPr>
            <w:tcW w:w="6568" w:type="dxa"/>
            <w:noWrap w:val="0"/>
            <w:vAlign w:val="center"/>
          </w:tcPr>
          <w:p>
            <w:pPr>
              <w:adjustRightInd w:val="0"/>
              <w:snapToGrid w:val="0"/>
              <w:spacing w:line="0" w:lineRule="atLeast"/>
              <w:ind w:left="0" w:leftChars="0" w:firstLine="2530" w:firstLineChars="120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指标描述</w:t>
            </w:r>
          </w:p>
        </w:tc>
        <w:tc>
          <w:tcPr>
            <w:tcW w:w="765" w:type="dxa"/>
            <w:noWrap w:val="0"/>
            <w:vAlign w:val="center"/>
          </w:tcPr>
          <w:p>
            <w:pPr>
              <w:adjustRightInd w:val="0"/>
              <w:snapToGrid w:val="0"/>
              <w:spacing w:line="0" w:lineRule="atLeas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restart"/>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w:t>
            </w:r>
          </w:p>
        </w:tc>
        <w:tc>
          <w:tcPr>
            <w:tcW w:w="1275" w:type="dxa"/>
            <w:vMerge w:val="restart"/>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sz w:val="21"/>
                <w:szCs w:val="21"/>
                <w:highlight w:val="none"/>
              </w:rPr>
            </w:pPr>
            <w:r>
              <w:rPr>
                <w:rFonts w:hint="eastAsia" w:ascii="宋体" w:hAnsi="宋体" w:eastAsia="宋体" w:cs="宋体"/>
                <w:bCs/>
                <w:sz w:val="21"/>
                <w:szCs w:val="21"/>
                <w:highlight w:val="none"/>
              </w:rPr>
              <w:t>技术标（6</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6568" w:type="dxa"/>
            <w:noWrap w:val="0"/>
            <w:vAlign w:val="center"/>
          </w:tcPr>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1、提高物业管理服务水平的整体设想及策划</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根据有关法规、政策、标准及小区的</w:t>
            </w:r>
            <w:r>
              <w:rPr>
                <w:rFonts w:hint="eastAsia" w:ascii="宋体" w:hAnsi="宋体" w:eastAsia="宋体" w:cs="宋体"/>
                <w:sz w:val="21"/>
                <w:szCs w:val="21"/>
                <w:highlight w:val="none"/>
                <w:lang w:val="en-US" w:eastAsia="zh-CN"/>
              </w:rPr>
              <w:t>具体</w:t>
            </w:r>
            <w:r>
              <w:rPr>
                <w:rFonts w:hint="eastAsia" w:ascii="宋体" w:hAnsi="宋体" w:eastAsia="宋体" w:cs="宋体"/>
                <w:sz w:val="21"/>
                <w:szCs w:val="21"/>
                <w:highlight w:val="none"/>
              </w:rPr>
              <w:t>特点，拟提出整体设想及策划。</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客群分析</w:t>
            </w:r>
            <w:r>
              <w:rPr>
                <w:rFonts w:hint="eastAsia" w:ascii="宋体" w:hAnsi="宋体" w:eastAsia="宋体" w:cs="宋体"/>
                <w:sz w:val="21"/>
                <w:szCs w:val="21"/>
                <w:highlight w:val="none"/>
              </w:rPr>
              <w:t>；</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服务定位</w:t>
            </w:r>
            <w:r>
              <w:rPr>
                <w:rFonts w:hint="eastAsia" w:ascii="宋体" w:hAnsi="宋体" w:eastAsia="宋体" w:cs="宋体"/>
                <w:sz w:val="21"/>
                <w:szCs w:val="21"/>
                <w:highlight w:val="none"/>
              </w:rPr>
              <w:t>；</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服务目标</w:t>
            </w:r>
            <w:r>
              <w:rPr>
                <w:rFonts w:hint="eastAsia" w:ascii="宋体" w:hAnsi="宋体" w:eastAsia="宋体" w:cs="宋体"/>
                <w:sz w:val="21"/>
                <w:szCs w:val="21"/>
                <w:highlight w:val="none"/>
              </w:rPr>
              <w:t>；</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重难点分析</w:t>
            </w:r>
            <w:r>
              <w:rPr>
                <w:rFonts w:hint="eastAsia" w:ascii="宋体" w:hAnsi="宋体" w:eastAsia="宋体" w:cs="宋体"/>
                <w:sz w:val="21"/>
                <w:szCs w:val="21"/>
                <w:highlight w:val="none"/>
              </w:rPr>
              <w:t>；</w:t>
            </w:r>
          </w:p>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管理措施</w:t>
            </w:r>
            <w:r>
              <w:rPr>
                <w:rFonts w:hint="eastAsia" w:ascii="宋体" w:hAnsi="宋体" w:eastAsia="宋体" w:cs="宋体"/>
                <w:sz w:val="21"/>
                <w:szCs w:val="21"/>
                <w:highlight w:val="none"/>
              </w:rPr>
              <w:t>；</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pStyle w:val="20"/>
              <w:spacing w:line="360" w:lineRule="auto"/>
              <w:ind w:firstLine="0"/>
              <w:outlineLvl w:val="1"/>
              <w:rPr>
                <w:rFonts w:hint="eastAsia" w:ascii="宋体" w:hAnsi="宋体" w:eastAsia="宋体" w:cs="宋体"/>
                <w:sz w:val="21"/>
                <w:szCs w:val="21"/>
                <w:highlight w:val="none"/>
              </w:rPr>
            </w:pPr>
          </w:p>
        </w:tc>
        <w:tc>
          <w:tcPr>
            <w:tcW w:w="6568" w:type="dxa"/>
            <w:noWrap w:val="0"/>
            <w:vAlign w:val="center"/>
          </w:tcPr>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管理方式、工作计划和物资装备情况</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（1）管理方式：</w:t>
            </w:r>
            <w:r>
              <w:rPr>
                <w:rFonts w:hint="eastAsia" w:ascii="宋体" w:hAnsi="宋体" w:eastAsia="宋体" w:cs="宋体"/>
                <w:sz w:val="21"/>
                <w:szCs w:val="21"/>
                <w:highlight w:val="none"/>
                <w:lang w:val="en-US" w:eastAsia="zh-CN"/>
              </w:rPr>
              <w:t>管理机构设置</w:t>
            </w:r>
            <w:r>
              <w:rPr>
                <w:rFonts w:hint="eastAsia" w:ascii="宋体" w:hAnsi="宋体" w:eastAsia="宋体" w:cs="宋体"/>
                <w:sz w:val="21"/>
                <w:szCs w:val="21"/>
                <w:highlight w:val="none"/>
              </w:rPr>
              <w:t>、激励机制、监督机制、自我约束机制、信息反馈及处理机制等</w:t>
            </w:r>
            <w:r>
              <w:rPr>
                <w:rFonts w:hint="eastAsia" w:ascii="宋体" w:hAnsi="宋体" w:eastAsia="宋体" w:cs="宋体"/>
                <w:sz w:val="21"/>
                <w:szCs w:val="21"/>
                <w:highlight w:val="none"/>
                <w:lang w:eastAsia="zh-CN"/>
              </w:rPr>
              <w:t>；</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（2）工作计划：各项管理服务计划安排等</w:t>
            </w:r>
            <w:r>
              <w:rPr>
                <w:rFonts w:hint="eastAsia" w:ascii="宋体" w:hAnsi="宋体" w:eastAsia="宋体" w:cs="宋体"/>
                <w:sz w:val="21"/>
                <w:szCs w:val="21"/>
                <w:highlight w:val="none"/>
                <w:lang w:eastAsia="zh-CN"/>
              </w:rPr>
              <w:t>；</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（3）物资装备：管理服务</w:t>
            </w:r>
            <w:r>
              <w:rPr>
                <w:rFonts w:hint="eastAsia" w:ascii="宋体" w:hAnsi="宋体" w:eastAsia="宋体" w:cs="宋体"/>
                <w:sz w:val="21"/>
                <w:szCs w:val="21"/>
                <w:highlight w:val="none"/>
                <w:lang w:val="en-US" w:eastAsia="zh-CN"/>
              </w:rPr>
              <w:t>所需的物资、工具</w:t>
            </w:r>
            <w:r>
              <w:rPr>
                <w:rFonts w:hint="eastAsia" w:ascii="宋体" w:hAnsi="宋体" w:eastAsia="宋体" w:cs="宋体"/>
                <w:sz w:val="21"/>
                <w:szCs w:val="21"/>
                <w:highlight w:val="none"/>
              </w:rPr>
              <w:t>及办公用品等</w:t>
            </w:r>
            <w:r>
              <w:rPr>
                <w:rFonts w:hint="eastAsia" w:ascii="宋体" w:hAnsi="宋体" w:eastAsia="宋体" w:cs="宋体"/>
                <w:sz w:val="21"/>
                <w:szCs w:val="21"/>
                <w:highlight w:val="none"/>
                <w:lang w:eastAsia="zh-CN"/>
              </w:rPr>
              <w:t>；</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pStyle w:val="20"/>
              <w:spacing w:line="360" w:lineRule="auto"/>
              <w:ind w:firstLine="0"/>
              <w:outlineLvl w:val="1"/>
              <w:rPr>
                <w:rFonts w:hint="eastAsia" w:ascii="宋体" w:hAnsi="宋体" w:eastAsia="宋体" w:cs="宋体"/>
                <w:sz w:val="21"/>
                <w:szCs w:val="21"/>
                <w:highlight w:val="none"/>
              </w:rPr>
            </w:pPr>
          </w:p>
        </w:tc>
        <w:tc>
          <w:tcPr>
            <w:tcW w:w="6568" w:type="dxa"/>
            <w:noWrap w:val="0"/>
            <w:vAlign w:val="center"/>
          </w:tcPr>
          <w:p>
            <w:pPr>
              <w:pStyle w:val="20"/>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3、管理人员的岗位配备、培训、管理</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（1）管理人员配备：项目经理、各类人员数量、文化素质、专业素质、各岗位人员的配置等</w:t>
            </w:r>
            <w:r>
              <w:rPr>
                <w:rFonts w:hint="eastAsia" w:ascii="宋体" w:hAnsi="宋体" w:eastAsia="宋体" w:cs="宋体"/>
                <w:sz w:val="21"/>
                <w:szCs w:val="21"/>
                <w:highlight w:val="none"/>
                <w:lang w:eastAsia="zh-CN"/>
              </w:rPr>
              <w:t>；</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（2）管理人员培训：对各类人员的培训计划、方式、目标及行为规范的培训等</w:t>
            </w:r>
            <w:r>
              <w:rPr>
                <w:rFonts w:hint="eastAsia" w:ascii="宋体" w:hAnsi="宋体" w:eastAsia="宋体" w:cs="宋体"/>
                <w:sz w:val="21"/>
                <w:szCs w:val="21"/>
                <w:highlight w:val="none"/>
                <w:lang w:eastAsia="zh-CN"/>
              </w:rPr>
              <w:t>；</w:t>
            </w:r>
          </w:p>
          <w:p>
            <w:pPr>
              <w:pStyle w:val="20"/>
              <w:ind w:left="0" w:leftChars="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（3）人员管理：录用与考核、淘汰机制、奖罚、协调关系、服务意识、量化管理及标准运作等</w:t>
            </w:r>
            <w:r>
              <w:rPr>
                <w:rFonts w:hint="eastAsia" w:ascii="宋体" w:hAnsi="宋体" w:eastAsia="宋体" w:cs="宋体"/>
                <w:sz w:val="21"/>
                <w:szCs w:val="21"/>
                <w:highlight w:val="none"/>
                <w:lang w:eastAsia="zh-CN"/>
              </w:rPr>
              <w:t>；</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pStyle w:val="20"/>
              <w:spacing w:line="360" w:lineRule="auto"/>
              <w:ind w:right="-10" w:firstLine="0"/>
              <w:outlineLvl w:val="1"/>
              <w:rPr>
                <w:rFonts w:hint="eastAsia" w:ascii="宋体" w:hAnsi="宋体" w:eastAsia="宋体" w:cs="宋体"/>
                <w:sz w:val="21"/>
                <w:szCs w:val="21"/>
                <w:highlight w:val="none"/>
              </w:rPr>
            </w:pPr>
          </w:p>
        </w:tc>
        <w:tc>
          <w:tcPr>
            <w:tcW w:w="6568" w:type="dxa"/>
            <w:noWrap w:val="0"/>
            <w:vAlign w:val="center"/>
          </w:tcPr>
          <w:p>
            <w:pPr>
              <w:pStyle w:val="20"/>
              <w:ind w:left="0" w:leftChars="0" w:right="-1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4、管理规章制度</w:t>
            </w:r>
          </w:p>
          <w:p>
            <w:pPr>
              <w:pStyle w:val="20"/>
              <w:ind w:left="0" w:leftChars="0" w:right="-1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企业内部岗位责任制、人员考核制度及标准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公众制度</w:t>
            </w:r>
            <w:r>
              <w:rPr>
                <w:rFonts w:hint="eastAsia" w:ascii="宋体" w:hAnsi="宋体" w:eastAsia="宋体" w:cs="宋体"/>
                <w:sz w:val="21"/>
                <w:szCs w:val="21"/>
                <w:highlight w:val="none"/>
              </w:rPr>
              <w:t>等，要求具有健全的制度目录体系</w:t>
            </w:r>
            <w:r>
              <w:rPr>
                <w:rFonts w:hint="eastAsia" w:ascii="宋体" w:hAnsi="宋体" w:eastAsia="宋体" w:cs="宋体"/>
                <w:sz w:val="21"/>
                <w:szCs w:val="21"/>
                <w:highlight w:val="none"/>
                <w:lang w:eastAsia="zh-CN"/>
              </w:rPr>
              <w:t>；</w:t>
            </w:r>
          </w:p>
          <w:p>
            <w:pPr>
              <w:pStyle w:val="20"/>
              <w:ind w:left="0" w:leftChars="0" w:right="-1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（2）物业档案的建立与管理：</w:t>
            </w:r>
          </w:p>
          <w:p>
            <w:pPr>
              <w:pStyle w:val="20"/>
              <w:ind w:left="0" w:leftChars="0" w:right="-10" w:firstLine="0" w:firstLineChars="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提供物业</w:t>
            </w:r>
            <w:r>
              <w:rPr>
                <w:rFonts w:hint="eastAsia" w:ascii="宋体" w:hAnsi="宋体" w:eastAsia="宋体" w:cs="宋体"/>
                <w:sz w:val="21"/>
                <w:szCs w:val="21"/>
                <w:highlight w:val="none"/>
              </w:rPr>
              <w:t>管理服务档案</w:t>
            </w:r>
            <w:r>
              <w:rPr>
                <w:rFonts w:hint="eastAsia" w:ascii="宋体" w:hAnsi="宋体" w:eastAsia="宋体" w:cs="宋体"/>
                <w:sz w:val="21"/>
                <w:szCs w:val="21"/>
                <w:highlight w:val="none"/>
                <w:lang w:val="en-US" w:eastAsia="zh-CN"/>
              </w:rPr>
              <w:t>管理方案</w:t>
            </w:r>
            <w:r>
              <w:rPr>
                <w:rFonts w:hint="eastAsia" w:ascii="宋体" w:hAnsi="宋体" w:eastAsia="宋体" w:cs="宋体"/>
                <w:sz w:val="21"/>
                <w:szCs w:val="21"/>
                <w:highlight w:val="none"/>
              </w:rPr>
              <w:t>。要求符合规范、体现高标准，科学规范、详细完整</w:t>
            </w:r>
            <w:r>
              <w:rPr>
                <w:rFonts w:hint="eastAsia" w:ascii="宋体" w:hAnsi="宋体" w:eastAsia="宋体" w:cs="宋体"/>
                <w:sz w:val="21"/>
                <w:szCs w:val="21"/>
                <w:highlight w:val="none"/>
                <w:lang w:eastAsia="zh-CN"/>
              </w:rPr>
              <w:t>；</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pStyle w:val="20"/>
              <w:spacing w:line="360" w:lineRule="auto"/>
              <w:ind w:right="-10" w:firstLine="0"/>
              <w:outlineLvl w:val="1"/>
              <w:rPr>
                <w:rFonts w:hint="eastAsia" w:ascii="宋体" w:hAnsi="宋体" w:eastAsia="宋体" w:cs="宋体"/>
                <w:sz w:val="21"/>
                <w:szCs w:val="21"/>
                <w:highlight w:val="none"/>
              </w:rPr>
            </w:pPr>
          </w:p>
        </w:tc>
        <w:tc>
          <w:tcPr>
            <w:tcW w:w="6568" w:type="dxa"/>
            <w:noWrap w:val="0"/>
            <w:vAlign w:val="center"/>
          </w:tcPr>
          <w:p>
            <w:pPr>
              <w:pStyle w:val="20"/>
              <w:spacing w:line="360" w:lineRule="auto"/>
              <w:ind w:left="0" w:leftChars="0" w:right="-1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5、管理服务方案</w:t>
            </w:r>
          </w:p>
          <w:p>
            <w:pPr>
              <w:pStyle w:val="20"/>
              <w:spacing w:line="360" w:lineRule="auto"/>
              <w:ind w:left="0" w:leftChars="0" w:right="-1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根据投标供应商针对项目物业管理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提出秩序维护、保洁服务、公共设施设备管理、客户服务、园林绿化养护、</w:t>
            </w:r>
            <w:r>
              <w:rPr>
                <w:rFonts w:hint="eastAsia" w:ascii="宋体" w:hAnsi="宋体" w:eastAsia="宋体" w:cs="宋体"/>
                <w:sz w:val="21"/>
                <w:szCs w:val="21"/>
                <w:highlight w:val="none"/>
              </w:rPr>
              <w:t>物业接管方案</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方案的优化程度、合理、可行、先进等情况进行评分</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12</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ind w:firstLine="315" w:firstLineChars="150"/>
              <w:outlineLvl w:val="1"/>
              <w:rPr>
                <w:rFonts w:hint="eastAsia" w:ascii="宋体" w:hAnsi="宋体" w:eastAsia="宋体" w:cs="宋体"/>
                <w:sz w:val="21"/>
                <w:szCs w:val="21"/>
                <w:highlight w:val="none"/>
              </w:rPr>
            </w:pPr>
          </w:p>
        </w:tc>
        <w:tc>
          <w:tcPr>
            <w:tcW w:w="6568" w:type="dxa"/>
            <w:noWrap w:val="0"/>
            <w:vAlign w:val="center"/>
          </w:tcPr>
          <w:p>
            <w:pPr>
              <w:ind w:left="0" w:leftChars="0" w:firstLine="0" w:firstLineChars="0"/>
              <w:outlineLvl w:val="1"/>
              <w:rPr>
                <w:rFonts w:hint="eastAsia" w:ascii="宋体" w:hAnsi="宋体" w:eastAsia="宋体" w:cs="宋体"/>
                <w:sz w:val="21"/>
                <w:szCs w:val="21"/>
                <w:lang w:val="en-US" w:eastAsia="zh-CN"/>
              </w:rPr>
            </w:pPr>
            <w:r>
              <w:rPr>
                <w:rFonts w:hint="eastAsia" w:ascii="宋体" w:hAnsi="宋体" w:eastAsia="宋体" w:cs="宋体"/>
                <w:sz w:val="21"/>
                <w:szCs w:val="21"/>
              </w:rPr>
              <w:t>6、智能化系统</w:t>
            </w:r>
            <w:r>
              <w:rPr>
                <w:rFonts w:hint="eastAsia" w:ascii="宋体" w:hAnsi="宋体" w:eastAsia="宋体" w:cs="宋体"/>
                <w:sz w:val="21"/>
                <w:szCs w:val="21"/>
                <w:lang w:val="en-US" w:eastAsia="zh-CN"/>
              </w:rPr>
              <w:t>应用</w:t>
            </w:r>
          </w:p>
          <w:p>
            <w:pPr>
              <w:pStyle w:val="2"/>
              <w:ind w:left="0" w:leftChars="0" w:firstLine="0" w:firstLineChars="0"/>
              <w:rPr>
                <w:rFonts w:hint="eastAsia" w:ascii="宋体" w:hAnsi="宋体" w:eastAsia="宋体" w:cs="宋体"/>
                <w:sz w:val="21"/>
                <w:szCs w:val="21"/>
              </w:rPr>
            </w:pPr>
            <w:r>
              <w:rPr>
                <w:rFonts w:hint="eastAsia" w:ascii="宋体" w:hAnsi="宋体" w:eastAsia="宋体" w:cs="宋体"/>
                <w:sz w:val="21"/>
                <w:szCs w:val="21"/>
                <w:highlight w:val="none"/>
              </w:rPr>
              <w:t>根据投标供应商针对项目</w:t>
            </w:r>
            <w:r>
              <w:rPr>
                <w:rFonts w:hint="eastAsia" w:ascii="宋体" w:hAnsi="宋体" w:eastAsia="宋体" w:cs="宋体"/>
                <w:sz w:val="21"/>
                <w:szCs w:val="21"/>
                <w:highlight w:val="none"/>
                <w:lang w:val="en-US" w:eastAsia="zh-CN"/>
              </w:rPr>
              <w:t>提供智能化系统应用管理</w:t>
            </w:r>
            <w:r>
              <w:rPr>
                <w:rFonts w:hint="eastAsia" w:ascii="宋体" w:hAnsi="宋体" w:eastAsia="宋体" w:cs="宋体"/>
                <w:sz w:val="21"/>
                <w:szCs w:val="21"/>
                <w:highlight w:val="none"/>
              </w:rPr>
              <w:t>方案的优化程度、合理、可行、先进等情况进行评分</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ind w:firstLine="315" w:firstLineChars="150"/>
              <w:outlineLvl w:val="1"/>
              <w:rPr>
                <w:rFonts w:hint="eastAsia" w:ascii="宋体" w:hAnsi="宋体" w:eastAsia="宋体" w:cs="宋体"/>
                <w:sz w:val="21"/>
                <w:szCs w:val="21"/>
                <w:highlight w:val="none"/>
              </w:rPr>
            </w:pPr>
          </w:p>
        </w:tc>
        <w:tc>
          <w:tcPr>
            <w:tcW w:w="6568" w:type="dxa"/>
            <w:noWrap w:val="0"/>
            <w:vAlign w:val="center"/>
          </w:tcPr>
          <w:p>
            <w:pPr>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7、应急预案</w:t>
            </w:r>
          </w:p>
          <w:p>
            <w:pPr>
              <w:ind w:left="0" w:leftChars="0" w:firstLine="0" w:firstLineChars="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根据物业管理服务规律和可能发生的紧急事件，提出应急管理预案。预案应健全，思路可行，处理适宜。</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ind w:firstLine="315" w:firstLineChars="150"/>
              <w:outlineLvl w:val="1"/>
              <w:rPr>
                <w:rFonts w:hint="eastAsia" w:ascii="宋体" w:hAnsi="宋体" w:eastAsia="宋体" w:cs="宋体"/>
                <w:sz w:val="21"/>
                <w:szCs w:val="21"/>
                <w:highlight w:val="none"/>
              </w:rPr>
            </w:pPr>
          </w:p>
        </w:tc>
        <w:tc>
          <w:tcPr>
            <w:tcW w:w="6568" w:type="dxa"/>
            <w:noWrap w:val="0"/>
            <w:vAlign w:val="center"/>
          </w:tcPr>
          <w:p>
            <w:pPr>
              <w:pStyle w:val="20"/>
              <w:numPr>
                <w:ilvl w:val="0"/>
                <w:numId w:val="0"/>
              </w:numPr>
              <w:spacing w:line="360" w:lineRule="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拟为本项目配备的主要管理人员要求：</w:t>
            </w:r>
          </w:p>
          <w:p>
            <w:pPr>
              <w:pStyle w:val="91"/>
              <w:spacing w:before="2" w:line="410" w:lineRule="atLeast"/>
              <w:ind w:right="117"/>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bidi="ar-SA"/>
              </w:rPr>
              <w:t>（1）项目经理，</w:t>
            </w:r>
            <w:r>
              <w:rPr>
                <w:rFonts w:hint="eastAsia" w:ascii="宋体" w:hAnsi="宋体" w:eastAsia="宋体" w:cs="宋体"/>
                <w:b/>
                <w:bCs/>
                <w:sz w:val="21"/>
                <w:szCs w:val="21"/>
                <w:highlight w:val="none"/>
                <w:lang w:val="en-US" w:eastAsia="zh-CN" w:bidi="ar-SA"/>
              </w:rPr>
              <w:t>年龄不超过40岁，具有三年以上工作经验</w:t>
            </w:r>
            <w:r>
              <w:rPr>
                <w:rFonts w:hint="eastAsia" w:ascii="宋体" w:hAnsi="宋体" w:eastAsia="宋体" w:cs="宋体"/>
                <w:b/>
                <w:bCs/>
                <w:sz w:val="21"/>
                <w:szCs w:val="21"/>
                <w:highlight w:val="none"/>
              </w:rPr>
              <w:t>：</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①具有全国物业管理企业经理证，得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②具有人社部门颁发的中级及以上职称证书，得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③具有</w:t>
            </w:r>
            <w:r>
              <w:rPr>
                <w:rFonts w:hint="eastAsia" w:ascii="宋体" w:hAnsi="宋体" w:eastAsia="宋体" w:cs="宋体"/>
                <w:sz w:val="21"/>
                <w:szCs w:val="21"/>
                <w:highlight w:val="none"/>
                <w:lang w:val="en-US"/>
              </w:rPr>
              <w:t>全日制本科及以上学历</w:t>
            </w:r>
            <w:r>
              <w:rPr>
                <w:rFonts w:hint="eastAsia" w:ascii="宋体" w:hAnsi="宋体" w:eastAsia="宋体" w:cs="宋体"/>
                <w:sz w:val="21"/>
                <w:szCs w:val="21"/>
                <w:highlight w:val="none"/>
                <w:lang w:val="en-US" w:eastAsia="zh-CN"/>
              </w:rPr>
              <w:t>且为中共党员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lang w:val="en-US"/>
              </w:rPr>
              <w:t>2分；</w:t>
            </w:r>
          </w:p>
          <w:p>
            <w:pPr>
              <w:pStyle w:val="91"/>
              <w:spacing w:before="2" w:line="410" w:lineRule="atLeast"/>
              <w:ind w:right="117"/>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（2）秩序主管，满足以下要求：</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①具有</w:t>
            </w:r>
            <w:r>
              <w:rPr>
                <w:rFonts w:hint="eastAsia" w:ascii="宋体" w:hAnsi="宋体" w:eastAsia="宋体" w:cs="宋体"/>
                <w:sz w:val="21"/>
                <w:szCs w:val="21"/>
                <w:highlight w:val="none"/>
                <w:lang w:val="en-US" w:eastAsia="zh-CN"/>
              </w:rPr>
              <w:t>本科或本科以上学历</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②具有</w:t>
            </w:r>
            <w:r>
              <w:rPr>
                <w:rFonts w:hint="eastAsia" w:ascii="宋体" w:hAnsi="宋体" w:eastAsia="宋体" w:cs="宋体"/>
                <w:sz w:val="21"/>
                <w:szCs w:val="21"/>
                <w:highlight w:val="none"/>
                <w:lang w:eastAsia="zh-CN"/>
              </w:rPr>
              <w:t>退伍</w:t>
            </w:r>
            <w:r>
              <w:rPr>
                <w:rFonts w:hint="eastAsia" w:ascii="宋体" w:hAnsi="宋体" w:eastAsia="宋体" w:cs="宋体"/>
                <w:sz w:val="21"/>
                <w:szCs w:val="21"/>
                <w:highlight w:val="none"/>
                <w:lang w:val="en-US" w:eastAsia="zh-CN"/>
              </w:rPr>
              <w:t>军人证及保安员证</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③具有</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级及以上消防设施操作员证或建构筑物消防员证，得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（3）工程主管，满足以下要求：</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具有</w:t>
            </w:r>
            <w:r>
              <w:rPr>
                <w:rFonts w:hint="eastAsia" w:ascii="宋体" w:hAnsi="宋体" w:eastAsia="宋体" w:cs="宋体"/>
                <w:sz w:val="21"/>
                <w:szCs w:val="21"/>
                <w:highlight w:val="none"/>
              </w:rPr>
              <w:t>大专</w:t>
            </w:r>
            <w:r>
              <w:rPr>
                <w:rFonts w:hint="eastAsia" w:ascii="宋体" w:hAnsi="宋体" w:eastAsia="宋体" w:cs="宋体"/>
                <w:sz w:val="21"/>
                <w:szCs w:val="21"/>
                <w:highlight w:val="none"/>
                <w:lang w:val="en-US" w:eastAsia="zh-CN"/>
              </w:rPr>
              <w:t>或大专以上</w:t>
            </w:r>
            <w:r>
              <w:rPr>
                <w:rFonts w:hint="eastAsia" w:ascii="宋体" w:hAnsi="宋体" w:eastAsia="宋体" w:cs="宋体"/>
                <w:sz w:val="21"/>
                <w:szCs w:val="21"/>
                <w:highlight w:val="none"/>
              </w:rPr>
              <w:t>以上学历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rPr>
              <w:t>具有特种设备安全和作业人员证(A类)，得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rPr>
              <w:t>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③具有</w:t>
            </w:r>
            <w:r>
              <w:rPr>
                <w:rFonts w:hint="eastAsia" w:ascii="宋体" w:hAnsi="宋体" w:eastAsia="宋体" w:cs="宋体"/>
                <w:sz w:val="21"/>
                <w:szCs w:val="21"/>
                <w:highlight w:val="none"/>
                <w:lang w:val="en-US" w:eastAsia="zh-CN"/>
              </w:rPr>
              <w:t>高压及低压</w:t>
            </w:r>
            <w:r>
              <w:rPr>
                <w:rFonts w:hint="eastAsia" w:ascii="宋体" w:hAnsi="宋体" w:eastAsia="宋体" w:cs="宋体"/>
                <w:sz w:val="21"/>
                <w:szCs w:val="21"/>
                <w:highlight w:val="none"/>
              </w:rPr>
              <w:t>电工</w:t>
            </w:r>
            <w:r>
              <w:rPr>
                <w:rFonts w:hint="eastAsia" w:ascii="宋体" w:hAnsi="宋体" w:eastAsia="宋体" w:cs="宋体"/>
                <w:sz w:val="21"/>
                <w:szCs w:val="21"/>
                <w:highlight w:val="none"/>
                <w:lang w:val="en-US" w:eastAsia="zh-CN"/>
              </w:rPr>
              <w:t>操作证</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④</w:t>
            </w:r>
            <w:r>
              <w:rPr>
                <w:rFonts w:hint="eastAsia" w:ascii="宋体" w:hAnsi="宋体" w:eastAsia="宋体" w:cs="宋体"/>
                <w:sz w:val="21"/>
                <w:szCs w:val="21"/>
                <w:highlight w:val="none"/>
                <w:lang w:val="en-US"/>
              </w:rPr>
              <w:t>具有</w:t>
            </w:r>
            <w:r>
              <w:rPr>
                <w:rFonts w:hint="eastAsia" w:ascii="宋体" w:hAnsi="宋体" w:eastAsia="宋体" w:cs="宋体"/>
                <w:sz w:val="21"/>
                <w:szCs w:val="21"/>
                <w:highlight w:val="none"/>
                <w:lang w:val="en-US" w:eastAsia="zh-CN"/>
              </w:rPr>
              <w:t>高级消防工程师证</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注：附上述人员证书复印件或影印件同时提供投标人自202</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rPr>
              <w:t>6</w:t>
            </w:r>
            <w:r>
              <w:rPr>
                <w:rFonts w:hint="eastAsia" w:ascii="宋体" w:hAnsi="宋体" w:eastAsia="宋体" w:cs="宋体"/>
                <w:sz w:val="21"/>
                <w:szCs w:val="21"/>
                <w:highlight w:val="none"/>
              </w:rPr>
              <w:t>月以来为其缴纳的任意连续</w:t>
            </w:r>
            <w:r>
              <w:rPr>
                <w:rFonts w:hint="eastAsia" w:ascii="宋体" w:hAnsi="宋体" w:eastAsia="宋体" w:cs="宋体"/>
                <w:sz w:val="21"/>
                <w:szCs w:val="21"/>
                <w:highlight w:val="none"/>
                <w:lang w:val="en-US"/>
              </w:rPr>
              <w:t>6</w:t>
            </w:r>
            <w:r>
              <w:rPr>
                <w:rFonts w:hint="eastAsia" w:ascii="宋体" w:hAnsi="宋体" w:eastAsia="宋体" w:cs="宋体"/>
                <w:sz w:val="21"/>
                <w:szCs w:val="21"/>
                <w:highlight w:val="none"/>
              </w:rPr>
              <w:t>个月社保证明材料。</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2" w:type="dxa"/>
            <w:vMerge w:val="restart"/>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w:t>
            </w:r>
          </w:p>
        </w:tc>
        <w:tc>
          <w:tcPr>
            <w:tcW w:w="1275" w:type="dxa"/>
            <w:vMerge w:val="restart"/>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资信部分（</w:t>
            </w:r>
            <w:r>
              <w:rPr>
                <w:rFonts w:hint="eastAsia" w:ascii="宋体" w:hAnsi="宋体" w:eastAsia="宋体" w:cs="宋体"/>
                <w:bCs/>
                <w:sz w:val="21"/>
                <w:szCs w:val="21"/>
                <w:highlight w:val="none"/>
                <w:lang w:val="en-US" w:eastAsia="zh-CN"/>
              </w:rPr>
              <w:t>25</w:t>
            </w:r>
            <w:r>
              <w:rPr>
                <w:rFonts w:hint="eastAsia" w:ascii="宋体" w:hAnsi="宋体" w:eastAsia="宋体" w:cs="宋体"/>
                <w:bCs/>
                <w:sz w:val="21"/>
                <w:szCs w:val="21"/>
                <w:highlight w:val="none"/>
              </w:rPr>
              <w:t>分）</w:t>
            </w:r>
          </w:p>
        </w:tc>
        <w:tc>
          <w:tcPr>
            <w:tcW w:w="6568" w:type="dxa"/>
            <w:noWrap w:val="0"/>
            <w:vAlign w:val="center"/>
          </w:tcPr>
          <w:p>
            <w:pPr>
              <w:pStyle w:val="91"/>
              <w:spacing w:before="2" w:line="410" w:lineRule="atLeast"/>
              <w:ind w:right="117"/>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rPr>
              <w:t>11、投标供应商物业管理业绩要求：（除资格业绩外）</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rPr>
              <w:t>年1月1日以来（以合同签订时间为准）。投标供应商具有物业管理服务业绩（含正在履约）：</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①单项合同总建筑面积</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en-US"/>
              </w:rPr>
              <w:t>万平方米及以上住宅小区物业管理项目业绩得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rPr>
              <w:t>分，满分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rPr>
              <w:t>分。</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②单项合同总建筑面积</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en-US"/>
              </w:rPr>
              <w:t>万平方米及以上住宅小区物业管理项目业绩得2分，满分</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rPr>
              <w:t>分。</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注：（1）满分10分，同一业绩合同中若同时满足上述多项内容的，仅以最高分计分一次;</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投标文件中须提供业绩合同扫描件或影印件。若合同中未能体现签订时间、面积、项目内容等内容的，须同时提供业主单位（或合同甲方）出具的相关证明材料加以明确说明。</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r>
              <w:rPr>
                <w:rFonts w:hint="eastAsia" w:ascii="宋体" w:hAnsi="宋体" w:eastAsia="宋体" w:cs="宋体"/>
                <w:bCs/>
                <w:sz w:val="21"/>
                <w:szCs w:val="21"/>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32"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1275" w:type="dxa"/>
            <w:vMerge w:val="continue"/>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Cs/>
                <w:sz w:val="21"/>
                <w:szCs w:val="21"/>
                <w:highlight w:val="none"/>
              </w:rPr>
            </w:pPr>
          </w:p>
        </w:tc>
        <w:tc>
          <w:tcPr>
            <w:tcW w:w="6568" w:type="dxa"/>
            <w:noWrap w:val="0"/>
            <w:vAlign w:val="center"/>
          </w:tcPr>
          <w:p>
            <w:pPr>
              <w:pStyle w:val="91"/>
              <w:spacing w:before="2" w:line="410" w:lineRule="atLeast"/>
              <w:ind w:right="117"/>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rPr>
              <w:t>1、企业实力</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cs="宋体"/>
                <w:sz w:val="21"/>
                <w:szCs w:val="21"/>
                <w:highlight w:val="none"/>
                <w:lang w:val="en-US" w:eastAsia="zh-CN"/>
              </w:rPr>
              <w:t>在桐城市注册的企业</w:t>
            </w:r>
            <w:r>
              <w:rPr>
                <w:rFonts w:hint="eastAsia" w:ascii="宋体" w:hAnsi="宋体" w:eastAsia="宋体" w:cs="宋体"/>
                <w:sz w:val="21"/>
                <w:szCs w:val="21"/>
                <w:highlight w:val="none"/>
                <w:lang w:val="en-US"/>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分。</w:t>
            </w:r>
          </w:p>
          <w:p>
            <w:pPr>
              <w:pStyle w:val="91"/>
              <w:spacing w:before="2" w:line="410" w:lineRule="atLeast"/>
              <w:ind w:right="117"/>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rPr>
              <w:t>2、获得荣誉</w:t>
            </w:r>
          </w:p>
          <w:p>
            <w:pPr>
              <w:pStyle w:val="91"/>
              <w:spacing w:before="2" w:line="410" w:lineRule="atLeast"/>
              <w:ind w:right="11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自201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rPr>
              <w:t>年1月1日以来（以落款时间为准），投标供应商管理的（含正在履约）住宅物业项目获得物业行业主管部门</w:t>
            </w:r>
            <w:r>
              <w:rPr>
                <w:rFonts w:hint="eastAsia" w:ascii="宋体" w:hAnsi="宋体" w:eastAsia="宋体" w:cs="宋体"/>
                <w:sz w:val="21"/>
                <w:szCs w:val="21"/>
                <w:highlight w:val="none"/>
                <w:lang w:val="en-US" w:eastAsia="zh-CN"/>
              </w:rPr>
              <w:t>或协会</w:t>
            </w:r>
            <w:r>
              <w:rPr>
                <w:rFonts w:hint="eastAsia" w:ascii="宋体" w:hAnsi="宋体" w:eastAsia="宋体" w:cs="宋体"/>
                <w:sz w:val="21"/>
                <w:szCs w:val="21"/>
                <w:highlight w:val="none"/>
                <w:lang w:val="en-US"/>
              </w:rPr>
              <w:t>授予的“</w:t>
            </w:r>
            <w:r>
              <w:rPr>
                <w:rFonts w:hint="eastAsia" w:ascii="宋体" w:hAnsi="宋体" w:eastAsia="宋体" w:cs="宋体"/>
                <w:sz w:val="21"/>
                <w:szCs w:val="21"/>
                <w:highlight w:val="none"/>
                <w:lang w:val="en-US" w:eastAsia="zh-CN"/>
              </w:rPr>
              <w:t>示范住宅小区</w:t>
            </w:r>
            <w:r>
              <w:rPr>
                <w:rFonts w:hint="eastAsia" w:ascii="宋体" w:hAnsi="宋体" w:eastAsia="宋体" w:cs="宋体"/>
                <w:sz w:val="21"/>
                <w:szCs w:val="21"/>
                <w:highlight w:val="none"/>
                <w:lang w:val="en-US"/>
              </w:rPr>
              <w:t>”荣誉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分</w:t>
            </w:r>
            <w:r>
              <w:rPr>
                <w:rFonts w:hint="eastAsia" w:ascii="宋体" w:hAnsi="宋体" w:eastAsia="宋体" w:cs="宋体"/>
                <w:sz w:val="21"/>
                <w:szCs w:val="21"/>
                <w:highlight w:val="none"/>
                <w:lang w:val="en-US" w:eastAsia="zh-CN"/>
              </w:rPr>
              <w:t>。</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注：投标文件中须同时提供：提供获奖证书等证明材料（扫描件或影印件）。以上材料提供扫描件或影印件，提供的以上材料须能体现投标供应商名称，如无法体现，须另附颁奖单位的相关证明材料（扫描件或影印件）。</w:t>
            </w:r>
          </w:p>
          <w:p>
            <w:pPr>
              <w:pStyle w:val="91"/>
              <w:spacing w:before="2" w:line="410" w:lineRule="atLeast"/>
              <w:ind w:right="117"/>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rPr>
              <w:t>3、体系认证</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投标人同时具有经中国国家认证认可监督管理委员会认可的认证机构颁发的有效期内的质量管理体系认证证书、环境管理体系认证证书、职业健康安全管理体系认证证书、能源管理体认证证书、</w:t>
            </w:r>
            <w:r>
              <w:rPr>
                <w:rFonts w:hint="eastAsia" w:ascii="宋体" w:hAnsi="宋体" w:eastAsia="宋体" w:cs="宋体"/>
                <w:sz w:val="21"/>
                <w:szCs w:val="21"/>
                <w:highlight w:val="none"/>
                <w:lang w:val="en-US" w:eastAsia="zh-CN"/>
              </w:rPr>
              <w:t>信息安全</w:t>
            </w:r>
            <w:r>
              <w:rPr>
                <w:rFonts w:hint="eastAsia" w:ascii="宋体" w:hAnsi="宋体" w:eastAsia="宋体" w:cs="宋体"/>
                <w:sz w:val="21"/>
                <w:szCs w:val="21"/>
                <w:highlight w:val="none"/>
                <w:lang w:val="en-US"/>
              </w:rPr>
              <w:t>管理体系认证证书；全部满足得 5 分，缺一不得分。</w:t>
            </w:r>
          </w:p>
          <w:p>
            <w:pPr>
              <w:pStyle w:val="91"/>
              <w:spacing w:before="2" w:line="410" w:lineRule="atLeast"/>
              <w:ind w:right="117"/>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注：投标文件中须同时提供上述证书扫描件或影印件及全国认证认可信息公共服务平台证书信息查询截图，未提供或提供不全的不得分。</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32"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27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商务标</w:t>
            </w:r>
          </w:p>
          <w:p>
            <w:pPr>
              <w:pStyle w:val="20"/>
              <w:spacing w:line="360" w:lineRule="auto"/>
              <w:ind w:left="0" w:leftChars="0" w:right="0" w:rightChars="0" w:firstLine="0" w:firstLineChars="0"/>
              <w:jc w:val="center"/>
              <w:outlineLvl w:val="1"/>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en-US"/>
              </w:rPr>
              <w:t>分)</w:t>
            </w:r>
          </w:p>
        </w:tc>
        <w:tc>
          <w:tcPr>
            <w:tcW w:w="6568" w:type="dxa"/>
            <w:noWrap w:val="0"/>
            <w:vAlign w:val="center"/>
          </w:tcPr>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1、采用低价有效报价为基准价法。</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2、满足招标文件要求的最低投标报价为评标基准价，投标人的价格得分统一按照下列公式计算:</w:t>
            </w:r>
          </w:p>
          <w:p>
            <w:pPr>
              <w:pStyle w:val="91"/>
              <w:spacing w:before="2" w:line="410" w:lineRule="atLeast"/>
              <w:ind w:right="117"/>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标报价得分=(评标基准价/投标报价)×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en-US"/>
              </w:rPr>
              <w:t>%×100</w:t>
            </w:r>
          </w:p>
        </w:tc>
        <w:tc>
          <w:tcPr>
            <w:tcW w:w="765" w:type="dxa"/>
            <w:noWrap w:val="0"/>
            <w:vAlign w:val="center"/>
          </w:tcPr>
          <w:p>
            <w:pPr>
              <w:pStyle w:val="20"/>
              <w:spacing w:line="360" w:lineRule="auto"/>
              <w:ind w:left="0" w:leftChars="0" w:right="0" w:rightChars="0" w:firstLine="0" w:firstLineChars="0"/>
              <w:jc w:val="center"/>
              <w:outlineLvl w:val="1"/>
              <w:rPr>
                <w:rFonts w:hint="eastAsia" w:ascii="宋体" w:hAnsi="宋体" w:eastAsia="宋体" w:cs="宋体"/>
                <w:b/>
                <w:kern w:val="0"/>
                <w:sz w:val="21"/>
                <w:szCs w:val="21"/>
                <w:highlight w:val="none"/>
              </w:rPr>
            </w:pP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分</w:t>
            </w:r>
          </w:p>
        </w:tc>
      </w:tr>
    </w:tbl>
    <w:p>
      <w:pPr>
        <w:pStyle w:val="2"/>
        <w:rPr>
          <w:rFonts w:hint="eastAsia"/>
        </w:rPr>
      </w:pPr>
    </w:p>
    <w:p>
      <w:pPr>
        <w:spacing w:line="360" w:lineRule="auto"/>
        <w:ind w:firstLine="480" w:firstLineChars="200"/>
        <w:rPr>
          <w:rFonts w:hint="eastAsia" w:ascii="宋体" w:hAnsi="宋体"/>
          <w:sz w:val="24"/>
          <w:szCs w:val="28"/>
        </w:rPr>
      </w:pPr>
      <w:r>
        <w:rPr>
          <w:rFonts w:hint="eastAsia" w:ascii="宋体" w:hAnsi="宋体"/>
          <w:sz w:val="24"/>
          <w:szCs w:val="28"/>
        </w:rPr>
        <w:t>8.4技术标评审结束后进行商务标开标、评标。如有效投标人不少于三家，招标代理公司将宣布各投标人的技术标得分。</w:t>
      </w:r>
    </w:p>
    <w:p>
      <w:pPr>
        <w:spacing w:line="360" w:lineRule="auto"/>
        <w:ind w:firstLine="480" w:firstLineChars="200"/>
        <w:rPr>
          <w:rFonts w:hint="eastAsia" w:ascii="宋体" w:hAnsi="宋体"/>
          <w:sz w:val="24"/>
          <w:szCs w:val="28"/>
        </w:rPr>
      </w:pPr>
      <w:r>
        <w:rPr>
          <w:rFonts w:hint="eastAsia" w:ascii="宋体" w:hAnsi="宋体"/>
          <w:sz w:val="24"/>
          <w:szCs w:val="28"/>
        </w:rPr>
        <w:t>8.5商务标初审：开标一览表格式、填写要求符合招标文件规定并加盖投标人公章，且投标报价符合招标文件要求。未通过商务标初审的，投标无效。</w:t>
      </w:r>
    </w:p>
    <w:p>
      <w:pPr>
        <w:adjustRightInd w:val="0"/>
        <w:snapToGrid w:val="0"/>
        <w:spacing w:line="360" w:lineRule="auto"/>
        <w:ind w:right="-10" w:firstLine="480" w:firstLineChars="200"/>
        <w:rPr>
          <w:rFonts w:hint="eastAsia" w:ascii="宋体" w:hAnsi="宋体"/>
          <w:sz w:val="24"/>
        </w:rPr>
      </w:pPr>
      <w:r>
        <w:rPr>
          <w:rFonts w:hint="eastAsia" w:ascii="宋体" w:hAnsi="宋体"/>
          <w:sz w:val="24"/>
          <w:szCs w:val="28"/>
        </w:rPr>
        <w:t>8.6 商务标初审合格后进行商务标计算(满分20分，计算过程和结果均保留2位小数，第3位四舍五入</w:t>
      </w:r>
      <w:r>
        <w:rPr>
          <w:rFonts w:hint="eastAsia" w:ascii="宋体" w:hAnsi="宋体"/>
          <w:sz w:val="24"/>
        </w:rPr>
        <w:t>）。</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8.7 汇总排序</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将每个合格投标人的技术标得分再加上商务标得分，即为该投标人的最终得分。投标人的各项得分均保留小数点后两位。（四舍五入）</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按照入选投标人最终得分由高到低排出中标候选人。得分相同的，按技术标得分由高到低顺序排列。技术标得分最终得分均相同的，则由评标委员会投票产生第一中标候选人。</w:t>
      </w:r>
    </w:p>
    <w:p>
      <w:pPr>
        <w:spacing w:line="360" w:lineRule="auto"/>
        <w:ind w:firstLine="480" w:firstLineChars="200"/>
        <w:rPr>
          <w:rFonts w:hint="eastAsia" w:ascii="宋体" w:hAnsi="宋体"/>
          <w:b w:val="0"/>
          <w:bCs/>
          <w:sz w:val="24"/>
          <w:szCs w:val="28"/>
        </w:rPr>
      </w:pPr>
      <w:r>
        <w:rPr>
          <w:rFonts w:hint="eastAsia" w:ascii="宋体" w:hAnsi="宋体"/>
          <w:b w:val="0"/>
          <w:bCs/>
          <w:sz w:val="24"/>
          <w:szCs w:val="28"/>
        </w:rPr>
        <w:t>商务标评审结束后，如有效投标人不少于三家，招标人将宣布（且仅宣布）各投标人的最终总得分以及排名次序。招标人不对投标人得分情况做任何解释。除技术标得分及最终总得分外，不公布其他评分明细。</w:t>
      </w:r>
    </w:p>
    <w:p>
      <w:pPr>
        <w:pStyle w:val="20"/>
        <w:spacing w:line="360" w:lineRule="auto"/>
        <w:ind w:right="-10" w:firstLine="482"/>
        <w:rPr>
          <w:rFonts w:hint="eastAsia" w:ascii="宋体" w:hAnsi="宋体" w:eastAsia="宋体"/>
          <w:sz w:val="24"/>
        </w:rPr>
      </w:pPr>
      <w:r>
        <w:rPr>
          <w:rFonts w:hint="eastAsia" w:ascii="宋体" w:hAnsi="宋体" w:eastAsia="宋体"/>
          <w:b/>
          <w:sz w:val="24"/>
        </w:rPr>
        <w:t>第</w:t>
      </w:r>
      <w:r>
        <w:rPr>
          <w:rFonts w:hint="eastAsia" w:ascii="宋体" w:hAnsi="宋体" w:eastAsia="宋体"/>
          <w:b/>
          <w:bCs/>
          <w:sz w:val="24"/>
        </w:rPr>
        <w:t>九</w:t>
      </w:r>
      <w:r>
        <w:rPr>
          <w:rFonts w:hint="eastAsia" w:ascii="宋体" w:hAnsi="宋体" w:eastAsia="宋体"/>
          <w:b/>
          <w:sz w:val="24"/>
        </w:rPr>
        <w:t xml:space="preserve">条 </w:t>
      </w:r>
      <w:r>
        <w:rPr>
          <w:rFonts w:hint="eastAsia" w:ascii="宋体" w:hAnsi="宋体" w:eastAsia="宋体"/>
          <w:sz w:val="24"/>
        </w:rPr>
        <w:t>各投标人的得分一经得出，并核对无误后，任何人不得更改。</w:t>
      </w:r>
    </w:p>
    <w:p>
      <w:pPr>
        <w:adjustRightInd w:val="0"/>
        <w:snapToGrid w:val="0"/>
        <w:spacing w:line="360" w:lineRule="auto"/>
        <w:ind w:right="-10" w:firstLine="482" w:firstLineChars="200"/>
        <w:rPr>
          <w:rFonts w:hint="eastAsia" w:ascii="宋体" w:hAnsi="宋体"/>
          <w:b/>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条 </w:t>
      </w:r>
      <w:r>
        <w:rPr>
          <w:rFonts w:hint="eastAsia" w:ascii="宋体" w:hAnsi="宋体"/>
          <w:sz w:val="24"/>
        </w:rPr>
        <w:t>评委会在评标过程中发现的问题，应当及时作出处理或者向招标人提出处理建议，并作书面记录。</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一条 </w:t>
      </w:r>
      <w:r>
        <w:rPr>
          <w:rFonts w:hint="eastAsia" w:ascii="宋体" w:hAnsi="宋体"/>
          <w:sz w:val="24"/>
        </w:rPr>
        <w:t>在评审过程中，评委会发现投标人的报价或者某些分项报价可能低于成本或者高于招标文件设定的最高投标限价的，评委会将以询标的方式告知并要求投标人以书面方式进行必要的说明或补正，经评委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第十二条</w:t>
      </w:r>
      <w:r>
        <w:rPr>
          <w:rFonts w:hint="eastAsia" w:ascii="宋体" w:hAnsi="宋体"/>
          <w:sz w:val="24"/>
        </w:rPr>
        <w:t xml:space="preserve"> 投标人投标报价与公布的预算价（或控制价)相比降幅过小，或投标人投标报价明显缺乏竞争性的，评委会可以否决所有投标。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rPr>
        <w:t>第十三条</w:t>
      </w:r>
      <w:r>
        <w:rPr>
          <w:rFonts w:hint="eastAsia" w:ascii="宋体" w:hAnsi="宋体"/>
          <w:sz w:val="24"/>
        </w:rPr>
        <w:t xml:space="preserve"> 评标后，评委会应写出评标报告并签字。评标报告是评委会根据全体评标成员签字的原始评标记录和评标结果编写的报告，评委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center"/>
        <w:rPr>
          <w:rFonts w:hint="eastAsia" w:ascii="宋体" w:hAnsi="宋体"/>
          <w:sz w:val="24"/>
        </w:rPr>
      </w:pPr>
      <w:r>
        <w:rPr>
          <w:rFonts w:hint="eastAsia" w:ascii="宋体" w:hAnsi="宋体"/>
          <w:b/>
          <w:sz w:val="24"/>
        </w:rPr>
        <w:t>三．    评标纪律</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rPr>
        <w:t>第十</w:t>
      </w:r>
      <w:r>
        <w:rPr>
          <w:rFonts w:hint="eastAsia" w:ascii="宋体" w:hAnsi="宋体"/>
          <w:b/>
          <w:bCs/>
          <w:sz w:val="24"/>
        </w:rPr>
        <w:t>四</w:t>
      </w:r>
      <w:r>
        <w:rPr>
          <w:rFonts w:hint="eastAsia" w:ascii="宋体" w:hAnsi="宋体"/>
          <w:b/>
          <w:sz w:val="24"/>
        </w:rPr>
        <w:t>条</w:t>
      </w:r>
      <w:r>
        <w:rPr>
          <w:rFonts w:hint="eastAsia" w:ascii="宋体" w:hAnsi="宋体"/>
          <w:sz w:val="24"/>
        </w:rPr>
        <w:t xml:space="preserve"> 评委会和评标工作人员应严格遵守国家的法律、法规和规章制度；严格按照本次招标文件进行评标；公正廉洁、不徇私情，不得损害国家利益；保护招、投标人的合法权益。</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第十</w:t>
      </w:r>
      <w:r>
        <w:rPr>
          <w:rFonts w:hint="eastAsia" w:ascii="宋体" w:hAnsi="宋体"/>
          <w:b/>
          <w:bCs/>
          <w:sz w:val="24"/>
        </w:rPr>
        <w:t>五</w:t>
      </w:r>
      <w:r>
        <w:rPr>
          <w:rFonts w:hint="eastAsia" w:ascii="宋体" w:hAnsi="宋体"/>
          <w:b/>
          <w:sz w:val="24"/>
        </w:rPr>
        <w:t>条</w:t>
      </w:r>
      <w:r>
        <w:rPr>
          <w:rFonts w:hint="eastAsia" w:ascii="宋体" w:hAnsi="宋体"/>
          <w:sz w:val="24"/>
        </w:rPr>
        <w:t xml:space="preserve"> 在评标过程中，评委及其他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pPr>
        <w:adjustRightInd w:val="0"/>
        <w:snapToGrid w:val="0"/>
        <w:spacing w:line="360" w:lineRule="auto"/>
        <w:ind w:right="-10" w:firstLine="482" w:firstLineChars="200"/>
        <w:rPr>
          <w:rFonts w:hint="eastAsia" w:ascii="宋体" w:hAnsi="宋体"/>
          <w:bCs/>
          <w:sz w:val="24"/>
        </w:rPr>
      </w:pPr>
      <w:r>
        <w:rPr>
          <w:rFonts w:hint="eastAsia" w:ascii="宋体" w:hAnsi="宋体"/>
          <w:b/>
          <w:bCs/>
          <w:sz w:val="24"/>
        </w:rPr>
        <w:t xml:space="preserve">第十六条 </w:t>
      </w:r>
      <w:r>
        <w:rPr>
          <w:rFonts w:hint="eastAsia" w:ascii="宋体" w:hAnsi="宋体"/>
          <w:bCs/>
          <w:sz w:val="24"/>
        </w:rPr>
        <w:t>本评标办法的解释权属</w:t>
      </w:r>
      <w:r>
        <w:rPr>
          <w:rFonts w:hint="eastAsia" w:ascii="宋体" w:hAnsi="宋体"/>
          <w:sz w:val="24"/>
          <w:szCs w:val="22"/>
        </w:rPr>
        <w:t>于</w:t>
      </w:r>
      <w:r>
        <w:rPr>
          <w:rFonts w:hint="eastAsia" w:ascii="宋体" w:hAnsi="宋体"/>
          <w:sz w:val="24"/>
          <w:szCs w:val="22"/>
          <w:lang w:eastAsia="zh-CN"/>
        </w:rPr>
        <w:t>安徽国翠玉艺股份有限公司</w:t>
      </w:r>
      <w:r>
        <w:rPr>
          <w:rFonts w:hint="eastAsia" w:ascii="宋体" w:hAnsi="宋体"/>
          <w:bCs/>
          <w:sz w:val="24"/>
        </w:rPr>
        <w:t>。</w:t>
      </w:r>
    </w:p>
    <w:p>
      <w:pPr>
        <w:pStyle w:val="3"/>
        <w:spacing w:before="0" w:after="0" w:line="400" w:lineRule="exact"/>
        <w:rPr>
          <w:rFonts w:hint="eastAsia" w:ascii="黑体" w:hAnsi="宋体" w:eastAsia="黑体"/>
          <w:sz w:val="32"/>
        </w:rPr>
      </w:pPr>
      <w:bookmarkStart w:id="15" w:name="_Toc504073350"/>
      <w:r>
        <w:rPr>
          <w:rFonts w:hint="eastAsia" w:ascii="黑体" w:hAnsi="宋体" w:eastAsia="黑体"/>
          <w:sz w:val="32"/>
        </w:rPr>
        <w:br w:type="page"/>
      </w:r>
      <w:r>
        <w:rPr>
          <w:rFonts w:hint="eastAsia" w:ascii="黑体" w:hAnsi="宋体" w:eastAsia="黑体"/>
          <w:sz w:val="32"/>
        </w:rPr>
        <w:t>招标文件第二部分</w:t>
      </w:r>
      <w:bookmarkEnd w:id="15"/>
    </w:p>
    <w:p>
      <w:pPr>
        <w:pStyle w:val="4"/>
        <w:spacing w:line="500" w:lineRule="exact"/>
        <w:rPr>
          <w:rFonts w:hint="eastAsia" w:ascii="宋体" w:hAnsi="宋体" w:eastAsia="宋体"/>
        </w:rPr>
      </w:pPr>
      <w:bookmarkStart w:id="16" w:name="_Toc504073351"/>
      <w:r>
        <w:rPr>
          <w:rFonts w:hint="eastAsia" w:ascii="宋体" w:hAnsi="宋体" w:eastAsia="宋体"/>
        </w:rPr>
        <w:t>第五章 投标人须知</w:t>
      </w:r>
      <w:bookmarkEnd w:id="16"/>
    </w:p>
    <w:p>
      <w:pPr>
        <w:pStyle w:val="5"/>
        <w:spacing w:line="500" w:lineRule="exact"/>
        <w:rPr>
          <w:rFonts w:hint="eastAsia" w:hAnsi="宋体"/>
          <w:sz w:val="28"/>
        </w:rPr>
      </w:pPr>
      <w:bookmarkStart w:id="17" w:name="_Hlt509649998"/>
      <w:bookmarkEnd w:id="17"/>
      <w:bookmarkStart w:id="18" w:name="_Hlt509650686"/>
      <w:bookmarkEnd w:id="18"/>
      <w:bookmarkStart w:id="19" w:name="_Hlt509650126"/>
      <w:bookmarkEnd w:id="19"/>
      <w:bookmarkStart w:id="20" w:name="_Hlt509650955"/>
      <w:bookmarkEnd w:id="20"/>
      <w:bookmarkStart w:id="21" w:name="_Hlt509649722"/>
      <w:bookmarkEnd w:id="21"/>
      <w:bookmarkStart w:id="22" w:name="_Hlt526418143"/>
      <w:bookmarkEnd w:id="22"/>
      <w:bookmarkStart w:id="23" w:name="_Toc504073352"/>
      <w:r>
        <w:rPr>
          <w:rFonts w:hint="eastAsia" w:hAnsi="宋体"/>
          <w:sz w:val="28"/>
        </w:rPr>
        <w:t>一．总    则</w:t>
      </w:r>
      <w:bookmarkEnd w:id="23"/>
    </w:p>
    <w:p>
      <w:pPr>
        <w:spacing w:line="360" w:lineRule="auto"/>
        <w:ind w:firstLine="550"/>
        <w:rPr>
          <w:rFonts w:hint="eastAsia" w:ascii="宋体" w:hAnsi="宋体"/>
          <w:b/>
          <w:sz w:val="24"/>
        </w:rPr>
      </w:pPr>
      <w:r>
        <w:rPr>
          <w:rFonts w:ascii="宋体" w:hAnsi="宋体"/>
          <w:b/>
          <w:sz w:val="24"/>
        </w:rPr>
        <w:t>1</w:t>
      </w:r>
      <w:r>
        <w:rPr>
          <w:rFonts w:hint="eastAsia" w:ascii="宋体" w:hAnsi="宋体"/>
          <w:b/>
          <w:sz w:val="24"/>
        </w:rPr>
        <w:t>.适用范围</w:t>
      </w:r>
    </w:p>
    <w:p>
      <w:pPr>
        <w:spacing w:line="360" w:lineRule="auto"/>
        <w:ind w:firstLine="550"/>
        <w:rPr>
          <w:rFonts w:hint="eastAsia" w:ascii="宋体" w:hAnsi="宋体"/>
          <w:sz w:val="24"/>
        </w:rPr>
      </w:pPr>
      <w:r>
        <w:rPr>
          <w:rFonts w:ascii="宋体" w:hAnsi="宋体"/>
          <w:sz w:val="24"/>
        </w:rPr>
        <w:t>1.</w:t>
      </w:r>
      <w:r>
        <w:rPr>
          <w:rFonts w:hint="eastAsia" w:ascii="宋体" w:hAnsi="宋体"/>
          <w:sz w:val="24"/>
        </w:rPr>
        <w:t>1本招标文件仅适用于本次公开招标所述的服务项目招标。</w:t>
      </w:r>
    </w:p>
    <w:p>
      <w:pPr>
        <w:spacing w:line="360" w:lineRule="auto"/>
        <w:ind w:firstLine="550"/>
        <w:rPr>
          <w:rFonts w:hint="eastAsia" w:ascii="宋体" w:hAnsi="宋体"/>
          <w:b/>
          <w:sz w:val="24"/>
        </w:rPr>
      </w:pPr>
      <w:r>
        <w:rPr>
          <w:rFonts w:hint="eastAsia" w:ascii="宋体" w:hAnsi="宋体"/>
          <w:b/>
          <w:sz w:val="24"/>
        </w:rPr>
        <w:t>2.有关定义</w:t>
      </w:r>
    </w:p>
    <w:p>
      <w:pPr>
        <w:spacing w:line="360" w:lineRule="auto"/>
        <w:ind w:firstLine="550"/>
        <w:rPr>
          <w:rFonts w:hint="eastAsia" w:ascii="宋体" w:hAnsi="宋体"/>
          <w:sz w:val="24"/>
        </w:rPr>
      </w:pPr>
      <w:r>
        <w:rPr>
          <w:rFonts w:hint="eastAsia" w:ascii="宋体" w:hAnsi="宋体"/>
          <w:sz w:val="24"/>
        </w:rPr>
        <w:t>2.1监督管理部门：系指桐城市房地产管理部门。</w:t>
      </w:r>
    </w:p>
    <w:p>
      <w:pPr>
        <w:spacing w:line="360" w:lineRule="auto"/>
        <w:ind w:firstLine="550"/>
        <w:rPr>
          <w:rFonts w:hint="eastAsia" w:ascii="宋体" w:hAnsi="宋体"/>
          <w:sz w:val="24"/>
        </w:rPr>
      </w:pPr>
      <w:r>
        <w:rPr>
          <w:rFonts w:hint="eastAsia" w:ascii="宋体" w:hAnsi="宋体"/>
          <w:sz w:val="24"/>
        </w:rPr>
        <w:t>2.2招标人：系指本次招标项目的业主方。</w:t>
      </w:r>
    </w:p>
    <w:p>
      <w:pPr>
        <w:spacing w:line="360" w:lineRule="auto"/>
        <w:ind w:firstLine="550"/>
        <w:rPr>
          <w:rFonts w:hint="eastAsia" w:ascii="宋体" w:hAnsi="宋体"/>
          <w:sz w:val="24"/>
        </w:rPr>
      </w:pPr>
      <w:r>
        <w:rPr>
          <w:rFonts w:hint="eastAsia" w:ascii="宋体" w:hAnsi="宋体"/>
          <w:sz w:val="24"/>
        </w:rPr>
        <w:t>2.3投标人：系指购买了本招标文件，且已经提交或准备提交本次投标文件的服务商。</w:t>
      </w:r>
    </w:p>
    <w:p>
      <w:pPr>
        <w:spacing w:line="360" w:lineRule="auto"/>
        <w:ind w:firstLine="550"/>
        <w:rPr>
          <w:rFonts w:hint="eastAsia" w:ascii="宋体" w:hAnsi="宋体"/>
          <w:sz w:val="24"/>
        </w:rPr>
      </w:pPr>
      <w:r>
        <w:rPr>
          <w:rFonts w:hint="eastAsia" w:ascii="宋体" w:hAnsi="宋体"/>
          <w:sz w:val="24"/>
        </w:rPr>
        <w:t>2.4服务：系指除货物和工程以外的其他招标对象，包括咨询、调研、评估、规划、设计、监理、审计、保险、租赁、印刷、维修、物业管理等。</w:t>
      </w:r>
    </w:p>
    <w:p>
      <w:pPr>
        <w:spacing w:line="360" w:lineRule="auto"/>
        <w:ind w:firstLine="550"/>
        <w:rPr>
          <w:rFonts w:hint="eastAsia" w:ascii="宋体" w:hAnsi="宋体"/>
          <w:sz w:val="24"/>
        </w:rPr>
      </w:pPr>
      <w:r>
        <w:rPr>
          <w:rFonts w:hint="eastAsia" w:ascii="宋体" w:hAnsi="宋体"/>
          <w:sz w:val="24"/>
        </w:rPr>
        <w:t>2.5近X年内：系指从开标之日向前追溯X年（“X”为“一”及以后整数）起算。除非本招标文件另有规定，否则均以合同签订之日为追溯结点。</w:t>
      </w:r>
    </w:p>
    <w:p>
      <w:pPr>
        <w:spacing w:line="360" w:lineRule="auto"/>
        <w:ind w:firstLine="550"/>
        <w:rPr>
          <w:rFonts w:hint="eastAsia" w:ascii="宋体" w:hAnsi="宋体"/>
          <w:sz w:val="24"/>
        </w:rPr>
      </w:pPr>
      <w:r>
        <w:rPr>
          <w:rFonts w:hint="eastAsia" w:ascii="宋体" w:hAnsi="宋体"/>
          <w:sz w:val="24"/>
        </w:rPr>
        <w:t>2.8业绩：系指符合本招标文件规定的与最终用户(“最终用户”系指合同项目的建设方或由建设方确定的承包方)签订的合同及相关证明。投标人与其关联公司（如母公司、控股公司、参股公司、分公司、子公司、同一法定代表人的公司等）之间签订的合同，均不予认可。</w:t>
      </w:r>
    </w:p>
    <w:p>
      <w:pPr>
        <w:spacing w:line="360" w:lineRule="auto"/>
        <w:ind w:firstLine="550"/>
        <w:rPr>
          <w:rFonts w:hint="eastAsia" w:ascii="宋体" w:hAnsi="宋体"/>
          <w:b/>
          <w:sz w:val="24"/>
        </w:rPr>
      </w:pPr>
      <w:r>
        <w:rPr>
          <w:rFonts w:hint="eastAsia" w:ascii="宋体" w:hAnsi="宋体"/>
          <w:b/>
          <w:sz w:val="24"/>
        </w:rPr>
        <w:t>3.投标费用</w:t>
      </w:r>
    </w:p>
    <w:p>
      <w:pPr>
        <w:spacing w:line="360" w:lineRule="auto"/>
        <w:ind w:firstLine="550"/>
        <w:rPr>
          <w:rFonts w:hint="eastAsia" w:ascii="宋体" w:hAnsi="宋体"/>
          <w:sz w:val="24"/>
        </w:rPr>
      </w:pPr>
      <w:r>
        <w:rPr>
          <w:rFonts w:hint="eastAsia" w:ascii="宋体" w:hAnsi="宋体"/>
          <w:sz w:val="24"/>
        </w:rPr>
        <w:t>3.1无论投标结果如何，投标人应自行承担其编制与递交投标文件所涉及的一切费用。</w:t>
      </w:r>
    </w:p>
    <w:p>
      <w:pPr>
        <w:spacing w:line="360" w:lineRule="auto"/>
        <w:ind w:firstLine="550"/>
        <w:rPr>
          <w:rFonts w:hint="eastAsia" w:ascii="宋体" w:hAnsi="宋体"/>
          <w:b/>
          <w:bCs/>
          <w:sz w:val="24"/>
        </w:rPr>
      </w:pPr>
      <w:r>
        <w:rPr>
          <w:rFonts w:hint="eastAsia" w:ascii="宋体" w:hAnsi="宋体"/>
          <w:b/>
          <w:bCs/>
          <w:sz w:val="24"/>
        </w:rPr>
        <w:t>4.合格的投标人</w:t>
      </w:r>
    </w:p>
    <w:p>
      <w:pPr>
        <w:spacing w:line="360" w:lineRule="auto"/>
        <w:ind w:firstLine="523" w:firstLineChars="218"/>
        <w:rPr>
          <w:rFonts w:hint="eastAsia" w:ascii="宋体" w:hAnsi="宋体"/>
          <w:sz w:val="24"/>
        </w:rPr>
      </w:pPr>
      <w:r>
        <w:rPr>
          <w:rFonts w:hint="eastAsia" w:ascii="宋体" w:hAnsi="宋体"/>
          <w:sz w:val="24"/>
        </w:rPr>
        <w:t>4.1合格的投标人应符合招标文件载明的投标资格。</w:t>
      </w:r>
    </w:p>
    <w:p>
      <w:pPr>
        <w:spacing w:line="360" w:lineRule="auto"/>
        <w:ind w:firstLine="523" w:firstLineChars="218"/>
        <w:rPr>
          <w:rFonts w:hint="eastAsia" w:ascii="宋体" w:hAnsi="宋体"/>
          <w:sz w:val="24"/>
        </w:rPr>
      </w:pPr>
      <w:r>
        <w:rPr>
          <w:rFonts w:hint="eastAsia" w:ascii="宋体" w:hAnsi="宋体"/>
          <w:sz w:val="24"/>
        </w:rPr>
        <w:t>4.1.1除非招标文件认可，否则母、子公司之间的业绩、资质不得互用。</w:t>
      </w:r>
    </w:p>
    <w:p>
      <w:pPr>
        <w:spacing w:line="360" w:lineRule="auto"/>
        <w:ind w:firstLine="523" w:firstLineChars="218"/>
        <w:rPr>
          <w:rFonts w:hint="eastAsia" w:ascii="宋体" w:hAnsi="宋体"/>
          <w:sz w:val="24"/>
        </w:rPr>
      </w:pPr>
      <w:r>
        <w:rPr>
          <w:rFonts w:hint="eastAsia" w:ascii="宋体" w:hAnsi="宋体"/>
          <w:sz w:val="24"/>
        </w:rPr>
        <w:t>4.2投标人之间如果存在下列情形之一的，不得同时参加同一标段（包别）或者不分标段（包别）的同一项目投标：</w:t>
      </w:r>
    </w:p>
    <w:p>
      <w:pPr>
        <w:spacing w:line="360" w:lineRule="auto"/>
        <w:ind w:left="420" w:leftChars="200" w:firstLine="88" w:firstLineChars="37"/>
        <w:rPr>
          <w:rFonts w:hint="eastAsia" w:ascii="宋体" w:hAnsi="宋体"/>
          <w:sz w:val="24"/>
        </w:rPr>
      </w:pPr>
      <w:r>
        <w:rPr>
          <w:rFonts w:hint="eastAsia" w:ascii="宋体" w:hAnsi="宋体"/>
          <w:sz w:val="24"/>
        </w:rPr>
        <w:t>4.2.1法定代表人为同一个人的两个及两个以上法人；</w:t>
      </w:r>
    </w:p>
    <w:p>
      <w:pPr>
        <w:spacing w:line="360" w:lineRule="auto"/>
        <w:ind w:left="420" w:leftChars="200" w:firstLine="88" w:firstLineChars="37"/>
        <w:rPr>
          <w:rFonts w:hint="eastAsia" w:ascii="宋体" w:hAnsi="宋体"/>
          <w:sz w:val="24"/>
        </w:rPr>
      </w:pPr>
      <w:r>
        <w:rPr>
          <w:rFonts w:hint="eastAsia" w:ascii="宋体" w:hAnsi="宋体"/>
          <w:sz w:val="24"/>
        </w:rPr>
        <w:t>4.2.2母公司、全资子公司及其控股公司；</w:t>
      </w:r>
    </w:p>
    <w:p>
      <w:pPr>
        <w:pStyle w:val="16"/>
        <w:spacing w:line="360" w:lineRule="auto"/>
        <w:ind w:firstLine="480" w:firstLineChars="200"/>
        <w:rPr>
          <w:rFonts w:hint="eastAsia" w:ascii="宋体" w:hAnsi="宋体"/>
          <w:sz w:val="24"/>
        </w:rPr>
      </w:pPr>
      <w:r>
        <w:rPr>
          <w:rFonts w:hint="eastAsia" w:ascii="宋体" w:hAnsi="宋体"/>
          <w:sz w:val="24"/>
        </w:rPr>
        <w:t>4.2.3参加投标的其他组织之间存在特殊的利害关系的；</w:t>
      </w:r>
    </w:p>
    <w:p>
      <w:pPr>
        <w:spacing w:line="360" w:lineRule="auto"/>
        <w:ind w:left="420" w:leftChars="200" w:firstLine="88" w:firstLineChars="37"/>
        <w:rPr>
          <w:rFonts w:hint="eastAsia" w:ascii="宋体" w:hAnsi="宋体"/>
          <w:sz w:val="24"/>
        </w:rPr>
      </w:pPr>
      <w:r>
        <w:rPr>
          <w:rFonts w:hint="eastAsia" w:ascii="宋体" w:hAnsi="宋体"/>
          <w:sz w:val="24"/>
        </w:rPr>
        <w:t>4.2.4法律和行政法规规定的其他情形。</w:t>
      </w:r>
    </w:p>
    <w:p>
      <w:pPr>
        <w:spacing w:line="360" w:lineRule="auto"/>
        <w:ind w:firstLine="550"/>
        <w:rPr>
          <w:rFonts w:hint="eastAsia" w:ascii="宋体" w:hAnsi="宋体"/>
          <w:b/>
          <w:sz w:val="24"/>
        </w:rPr>
      </w:pPr>
      <w:r>
        <w:rPr>
          <w:rFonts w:hint="eastAsia" w:ascii="宋体" w:hAnsi="宋体"/>
          <w:b/>
          <w:sz w:val="24"/>
        </w:rPr>
        <w:t>5.勘察现场</w:t>
      </w:r>
    </w:p>
    <w:p>
      <w:pPr>
        <w:spacing w:line="360" w:lineRule="auto"/>
        <w:ind w:firstLine="550"/>
        <w:rPr>
          <w:rFonts w:hint="eastAsia" w:ascii="宋体" w:hAnsi="宋体"/>
          <w:sz w:val="24"/>
        </w:rPr>
      </w:pPr>
      <w:r>
        <w:rPr>
          <w:rFonts w:hint="eastAsia" w:ascii="宋体" w:hAnsi="宋体"/>
          <w:sz w:val="24"/>
        </w:rPr>
        <w:t>5.1投标人应自行对服务现场和周围环境进行勘察，以获取编制投标文件和签署合同所需的资料。勘察现场的方式、地址及联系方式见投标人须知前附表。</w:t>
      </w:r>
    </w:p>
    <w:p>
      <w:pPr>
        <w:spacing w:line="360" w:lineRule="auto"/>
        <w:ind w:firstLine="550"/>
        <w:rPr>
          <w:rFonts w:hint="eastAsia" w:ascii="宋体" w:hAnsi="宋体"/>
          <w:sz w:val="24"/>
        </w:rPr>
      </w:pPr>
      <w:r>
        <w:rPr>
          <w:rFonts w:hint="eastAsia" w:ascii="宋体" w:hAnsi="宋体"/>
          <w:sz w:val="24"/>
        </w:rPr>
        <w:t>5.2勘察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rPr>
      </w:pPr>
      <w:r>
        <w:rPr>
          <w:rFonts w:hint="eastAsia" w:ascii="宋体" w:hAnsi="宋体"/>
          <w:sz w:val="24"/>
        </w:rPr>
        <w:t>5.3除非有特殊要求，招标文件不单独提供服务地点的自然环境、气候条件、公用设施等情况，投标人被视为熟悉上述与履行合同有关的一切情况。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rPr>
      </w:pPr>
      <w:r>
        <w:rPr>
          <w:rFonts w:hint="eastAsia" w:ascii="宋体" w:hAnsi="宋体"/>
          <w:b/>
          <w:sz w:val="24"/>
        </w:rPr>
        <w:t>6.知识产权</w:t>
      </w:r>
    </w:p>
    <w:p>
      <w:pPr>
        <w:spacing w:line="360" w:lineRule="auto"/>
        <w:ind w:firstLine="549"/>
        <w:rPr>
          <w:rFonts w:hint="eastAsia" w:ascii="宋体" w:hAnsi="宋体"/>
          <w:bCs/>
          <w:sz w:val="24"/>
        </w:rPr>
      </w:pPr>
      <w:r>
        <w:rPr>
          <w:rFonts w:hint="eastAsia" w:ascii="宋体" w:hAnsi="宋体"/>
          <w:sz w:val="24"/>
        </w:rPr>
        <w:t>6.1</w:t>
      </w:r>
      <w:r>
        <w:rPr>
          <w:rFonts w:hint="eastAsia" w:ascii="宋体" w:hAnsi="宋体"/>
          <w:bCs/>
          <w:sz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rPr>
        <w:t>如因此导致招标人损失的，投标人须承担全部赔偿责任。</w:t>
      </w:r>
    </w:p>
    <w:p>
      <w:pPr>
        <w:spacing w:line="360" w:lineRule="auto"/>
        <w:ind w:firstLine="549"/>
        <w:rPr>
          <w:rFonts w:hint="eastAsia" w:ascii="宋体" w:hAnsi="宋体"/>
          <w:bCs/>
          <w:sz w:val="24"/>
        </w:rPr>
      </w:pPr>
      <w:r>
        <w:rPr>
          <w:rFonts w:hint="eastAsia" w:ascii="宋体" w:hAnsi="宋体"/>
          <w:bCs/>
          <w:sz w:val="24"/>
        </w:rPr>
        <w:t>6.2投标人如欲在项目实施过程中采用自有知识成果，须在投标文件中声明，并提供相关知识产权证明文件。使用该知识成果后，投标人须提供开发接口和开发手册等技术文档。</w:t>
      </w:r>
    </w:p>
    <w:p>
      <w:pPr>
        <w:spacing w:line="360" w:lineRule="auto"/>
        <w:ind w:firstLine="549"/>
        <w:rPr>
          <w:rFonts w:hint="eastAsia" w:ascii="宋体" w:hAnsi="宋体"/>
          <w:b/>
          <w:sz w:val="24"/>
        </w:rPr>
      </w:pPr>
      <w:r>
        <w:rPr>
          <w:rFonts w:hint="eastAsia" w:ascii="宋体" w:hAnsi="宋体"/>
          <w:b/>
          <w:sz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7.2投标人不得相互串通投标报价，不得妨碍其他投标人的公平竞争，不得损害招标人或其他投标人的合法权益，投标人不得以向招标人、评委会成员行贿或者采取其他不正当手段谋取中标。</w:t>
      </w:r>
    </w:p>
    <w:p>
      <w:pPr>
        <w:spacing w:line="360" w:lineRule="auto"/>
        <w:ind w:firstLine="549"/>
        <w:rPr>
          <w:rFonts w:hint="eastAsia" w:ascii="宋体" w:hAnsi="宋体"/>
          <w:sz w:val="24"/>
        </w:rPr>
      </w:pPr>
      <w:r>
        <w:rPr>
          <w:rFonts w:hint="eastAsia" w:ascii="宋体" w:hAnsi="宋体"/>
          <w:sz w:val="24"/>
        </w:rPr>
        <w:t>7.2.1有下列情形之一的，属于投标人相互串通投标：</w:t>
      </w:r>
    </w:p>
    <w:p>
      <w:pPr>
        <w:spacing w:line="360" w:lineRule="auto"/>
        <w:ind w:firstLine="549"/>
        <w:rPr>
          <w:rFonts w:hint="eastAsia" w:ascii="宋体" w:hAnsi="宋体"/>
          <w:sz w:val="24"/>
        </w:rPr>
      </w:pPr>
      <w:r>
        <w:rPr>
          <w:rFonts w:hint="eastAsia" w:ascii="宋体" w:hAnsi="宋体"/>
          <w:sz w:val="24"/>
        </w:rPr>
        <w:t>7.2.1.1投标人之间协商投标报价等投标文件的实质性内容；</w:t>
      </w:r>
    </w:p>
    <w:p>
      <w:pPr>
        <w:spacing w:line="360" w:lineRule="auto"/>
        <w:ind w:firstLine="549"/>
        <w:rPr>
          <w:rFonts w:hint="eastAsia" w:ascii="宋体" w:hAnsi="宋体"/>
          <w:sz w:val="24"/>
        </w:rPr>
      </w:pPr>
      <w:r>
        <w:rPr>
          <w:rFonts w:hint="eastAsia" w:ascii="宋体" w:hAnsi="宋体"/>
          <w:sz w:val="24"/>
        </w:rPr>
        <w:t>7.2.1.2投标人之间约定中标人；</w:t>
      </w:r>
    </w:p>
    <w:p>
      <w:pPr>
        <w:spacing w:line="360" w:lineRule="auto"/>
        <w:ind w:firstLine="549"/>
        <w:rPr>
          <w:rFonts w:hint="eastAsia" w:ascii="宋体" w:hAnsi="宋体"/>
          <w:sz w:val="24"/>
        </w:rPr>
      </w:pPr>
      <w:r>
        <w:rPr>
          <w:rFonts w:hint="eastAsia" w:ascii="宋体" w:hAnsi="宋体"/>
          <w:sz w:val="24"/>
        </w:rPr>
        <w:t>7.2.1.3投标人之间约定部分投标人放弃投标或者中标；</w:t>
      </w:r>
    </w:p>
    <w:p>
      <w:pPr>
        <w:spacing w:line="360" w:lineRule="auto"/>
        <w:ind w:firstLine="549"/>
        <w:rPr>
          <w:rFonts w:hint="eastAsia" w:ascii="宋体" w:hAnsi="宋体"/>
          <w:sz w:val="24"/>
        </w:rPr>
      </w:pPr>
      <w:r>
        <w:rPr>
          <w:rFonts w:hint="eastAsia" w:ascii="宋体" w:hAnsi="宋体"/>
          <w:sz w:val="24"/>
        </w:rPr>
        <w:t>7.2.1.4属于同一集团、协会、商会等组织成员的投标人按照该组织要求协同投标；</w:t>
      </w:r>
    </w:p>
    <w:p>
      <w:pPr>
        <w:spacing w:line="360" w:lineRule="auto"/>
        <w:ind w:firstLine="549"/>
        <w:rPr>
          <w:rFonts w:hint="eastAsia" w:ascii="宋体" w:hAnsi="宋体"/>
          <w:sz w:val="24"/>
        </w:rPr>
      </w:pPr>
      <w:r>
        <w:rPr>
          <w:rFonts w:hint="eastAsia" w:ascii="宋体" w:hAnsi="宋体"/>
          <w:sz w:val="24"/>
        </w:rPr>
        <w:t>7.2.1.5投标人之间为谋取中标或者排斥特定投标人而采取的其他联合行动。</w:t>
      </w:r>
    </w:p>
    <w:p>
      <w:pPr>
        <w:spacing w:line="360" w:lineRule="auto"/>
        <w:ind w:firstLine="549"/>
        <w:rPr>
          <w:rFonts w:hint="eastAsia" w:ascii="宋体" w:hAnsi="宋体"/>
          <w:sz w:val="24"/>
        </w:rPr>
      </w:pPr>
      <w:r>
        <w:rPr>
          <w:rFonts w:hint="eastAsia" w:ascii="宋体" w:hAnsi="宋体"/>
          <w:sz w:val="24"/>
        </w:rPr>
        <w:t>7.2.2 有下列情形之一的，视为投标人相互串通投标：</w:t>
      </w:r>
    </w:p>
    <w:p>
      <w:pPr>
        <w:spacing w:line="360" w:lineRule="auto"/>
        <w:ind w:firstLine="549"/>
        <w:rPr>
          <w:rFonts w:hint="eastAsia" w:ascii="宋体" w:hAnsi="宋体"/>
          <w:sz w:val="24"/>
        </w:rPr>
      </w:pPr>
      <w:r>
        <w:rPr>
          <w:rFonts w:hint="eastAsia" w:ascii="宋体" w:hAnsi="宋体"/>
          <w:sz w:val="24"/>
        </w:rPr>
        <w:t>7.2.2.1不同投标人的投标文件由同一单位或者个人编制；</w:t>
      </w:r>
    </w:p>
    <w:p>
      <w:pPr>
        <w:spacing w:line="360" w:lineRule="auto"/>
        <w:ind w:firstLine="549"/>
        <w:rPr>
          <w:rFonts w:hint="eastAsia" w:ascii="宋体" w:hAnsi="宋体"/>
          <w:sz w:val="24"/>
        </w:rPr>
      </w:pPr>
      <w:r>
        <w:rPr>
          <w:rFonts w:hint="eastAsia" w:ascii="宋体" w:hAnsi="宋体"/>
          <w:sz w:val="24"/>
        </w:rPr>
        <w:t>7.2.2.2不同投标人委托同一单位或者个人办理投标事宜；</w:t>
      </w:r>
    </w:p>
    <w:p>
      <w:pPr>
        <w:spacing w:line="360" w:lineRule="auto"/>
        <w:ind w:firstLine="549"/>
        <w:rPr>
          <w:rFonts w:hint="eastAsia" w:ascii="宋体" w:hAnsi="宋体"/>
          <w:sz w:val="24"/>
        </w:rPr>
      </w:pPr>
      <w:r>
        <w:rPr>
          <w:rFonts w:hint="eastAsia" w:ascii="宋体" w:hAnsi="宋体"/>
          <w:sz w:val="24"/>
        </w:rPr>
        <w:t>7.2.2.3不同投标人的投标文件载明的项目管理成员为同一人；</w:t>
      </w:r>
    </w:p>
    <w:p>
      <w:pPr>
        <w:spacing w:line="360" w:lineRule="auto"/>
        <w:ind w:firstLine="549"/>
        <w:rPr>
          <w:rFonts w:hint="eastAsia" w:ascii="宋体" w:hAnsi="宋体"/>
          <w:sz w:val="24"/>
        </w:rPr>
      </w:pPr>
      <w:r>
        <w:rPr>
          <w:rFonts w:hint="eastAsia" w:ascii="宋体" w:hAnsi="宋体"/>
          <w:sz w:val="24"/>
        </w:rPr>
        <w:t>7.2.2.4不同投标人的投标文件异常一致或者投标报价呈规律性差异；</w:t>
      </w:r>
    </w:p>
    <w:p>
      <w:pPr>
        <w:spacing w:line="360" w:lineRule="auto"/>
        <w:ind w:firstLine="549"/>
        <w:rPr>
          <w:rFonts w:hint="eastAsia" w:ascii="宋体" w:hAnsi="宋体"/>
          <w:sz w:val="24"/>
        </w:rPr>
      </w:pPr>
      <w:r>
        <w:rPr>
          <w:rFonts w:hint="eastAsia" w:ascii="宋体" w:hAnsi="宋体"/>
          <w:sz w:val="24"/>
        </w:rPr>
        <w:t>7.2.2.5不同投标人的投标文件相互混装；</w:t>
      </w:r>
    </w:p>
    <w:p>
      <w:pPr>
        <w:spacing w:line="360" w:lineRule="auto"/>
        <w:ind w:firstLine="549"/>
        <w:rPr>
          <w:rFonts w:hint="eastAsia" w:ascii="宋体" w:hAnsi="宋体"/>
          <w:sz w:val="24"/>
        </w:rPr>
      </w:pPr>
      <w:r>
        <w:rPr>
          <w:rFonts w:hint="eastAsia" w:ascii="宋体" w:hAnsi="宋体"/>
          <w:sz w:val="24"/>
        </w:rPr>
        <w:t>7.2.2.6不同投标人的投标保证金从同一单位或者个人的账户转出。</w:t>
      </w:r>
    </w:p>
    <w:p>
      <w:pPr>
        <w:spacing w:line="360" w:lineRule="auto"/>
        <w:ind w:firstLine="549"/>
        <w:rPr>
          <w:rFonts w:hint="eastAsia" w:ascii="宋体" w:hAnsi="宋体"/>
          <w:sz w:val="24"/>
        </w:rPr>
      </w:pPr>
      <w:r>
        <w:rPr>
          <w:rFonts w:hint="eastAsia" w:ascii="宋体" w:hAnsi="宋体"/>
          <w:sz w:val="24"/>
        </w:rPr>
        <w:t>7.3在确定中标人之前，投标人不得与招标人就投标价格、投标方案等实质性内容进行谈判，也不得私下接触评委会成员。</w:t>
      </w:r>
    </w:p>
    <w:p>
      <w:pPr>
        <w:spacing w:line="360" w:lineRule="auto"/>
        <w:ind w:firstLine="549"/>
        <w:rPr>
          <w:rFonts w:hint="eastAsia" w:ascii="宋体" w:hAnsi="宋体"/>
          <w:sz w:val="24"/>
        </w:rPr>
      </w:pPr>
      <w:r>
        <w:rPr>
          <w:rFonts w:hint="eastAsia" w:ascii="宋体" w:hAnsi="宋体"/>
          <w:sz w:val="24"/>
        </w:rPr>
        <w:t>7.4在确定中标人之前，投标人试图在投标文件审查、澄清、比较和评价时对评委会、招标人和利信公司施加任何影响都可能导致其投标无效。</w:t>
      </w:r>
    </w:p>
    <w:p>
      <w:pPr>
        <w:spacing w:line="360" w:lineRule="auto"/>
        <w:ind w:firstLine="549"/>
        <w:rPr>
          <w:rFonts w:hint="eastAsia" w:ascii="宋体" w:hAnsi="宋体"/>
          <w:b/>
          <w:bCs/>
          <w:sz w:val="24"/>
        </w:rPr>
      </w:pPr>
      <w:r>
        <w:rPr>
          <w:rFonts w:hint="eastAsia" w:ascii="宋体" w:hAnsi="宋体"/>
          <w:sz w:val="24"/>
        </w:rPr>
        <w:t>7.5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pPr>
        <w:spacing w:line="360" w:lineRule="auto"/>
        <w:ind w:firstLine="549"/>
        <w:rPr>
          <w:rFonts w:hint="eastAsia" w:ascii="宋体" w:hAnsi="宋体"/>
          <w:b/>
          <w:sz w:val="24"/>
        </w:rPr>
      </w:pPr>
      <w:r>
        <w:rPr>
          <w:rFonts w:hint="eastAsia" w:ascii="宋体" w:hAnsi="宋体"/>
          <w:b/>
          <w:sz w:val="24"/>
        </w:rPr>
        <w:t>8.联合体投标（本项目不接受）</w:t>
      </w:r>
    </w:p>
    <w:p>
      <w:pPr>
        <w:spacing w:line="360" w:lineRule="auto"/>
        <w:ind w:firstLine="549"/>
        <w:rPr>
          <w:rFonts w:hint="eastAsia" w:ascii="宋体" w:hAnsi="宋体"/>
          <w:sz w:val="24"/>
        </w:rPr>
      </w:pPr>
      <w:r>
        <w:rPr>
          <w:rFonts w:hint="eastAsia" w:ascii="宋体" w:hAnsi="宋体"/>
          <w:sz w:val="24"/>
        </w:rPr>
        <w:t>8.1除非本项目明确要求不接受联合体形式投标外，</w:t>
      </w:r>
      <w:r>
        <w:rPr>
          <w:rFonts w:ascii="宋体" w:hAnsi="宋体"/>
          <w:sz w:val="24"/>
        </w:rPr>
        <w:t>两个以上法人或者其他组织可以组成一个联合体，以一个投标人的身份共同投标。</w:t>
      </w:r>
    </w:p>
    <w:p>
      <w:pPr>
        <w:spacing w:line="360" w:lineRule="auto"/>
        <w:ind w:firstLine="549"/>
        <w:rPr>
          <w:rFonts w:hint="eastAsia" w:ascii="宋体" w:hAnsi="宋体"/>
          <w:sz w:val="24"/>
        </w:rPr>
      </w:pPr>
      <w:r>
        <w:rPr>
          <w:rFonts w:hint="eastAsia" w:ascii="宋体" w:hAnsi="宋体"/>
          <w:sz w:val="24"/>
        </w:rPr>
        <w:t>8.2以联合体形式参加投标的，</w:t>
      </w:r>
      <w:r>
        <w:rPr>
          <w:rFonts w:ascii="宋体" w:hAnsi="宋体"/>
          <w:sz w:val="24"/>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rPr>
      </w:pPr>
      <w:r>
        <w:rPr>
          <w:rFonts w:hint="eastAsia" w:ascii="宋体" w:hAnsi="宋体"/>
          <w:sz w:val="24"/>
        </w:rPr>
        <w:t>8.3</w:t>
      </w:r>
      <w:r>
        <w:rPr>
          <w:rFonts w:ascii="宋体" w:hAnsi="宋体"/>
          <w:sz w:val="24"/>
        </w:rPr>
        <w:t>联合体各方应当签订</w:t>
      </w:r>
      <w:r>
        <w:rPr>
          <w:rFonts w:hint="eastAsia" w:ascii="宋体" w:hAnsi="宋体"/>
          <w:sz w:val="24"/>
        </w:rPr>
        <w:t>联合体</w:t>
      </w:r>
      <w:r>
        <w:rPr>
          <w:rFonts w:ascii="宋体" w:hAnsi="宋体"/>
          <w:sz w:val="24"/>
        </w:rPr>
        <w:t>协议，明确约定各方拟承担的工作和责任，并将</w:t>
      </w:r>
      <w:r>
        <w:rPr>
          <w:rFonts w:hint="eastAsia" w:ascii="宋体" w:hAnsi="宋体"/>
          <w:sz w:val="24"/>
        </w:rPr>
        <w:t>联合体</w:t>
      </w:r>
      <w:r>
        <w:rPr>
          <w:rFonts w:ascii="宋体" w:hAnsi="宋体"/>
          <w:sz w:val="24"/>
        </w:rPr>
        <w:t>协议连同投标文件一并提交。联合体中标的，联合体各方应当共同与招标人签订合同，就中标项目向招标人承担连带责任。联合体各方在同一招标项目</w:t>
      </w:r>
      <w:r>
        <w:rPr>
          <w:rFonts w:hint="eastAsia" w:ascii="宋体" w:hAnsi="宋体"/>
          <w:sz w:val="24"/>
        </w:rPr>
        <w:t>（标段）</w:t>
      </w:r>
      <w:r>
        <w:rPr>
          <w:rFonts w:ascii="宋体" w:hAnsi="宋体"/>
          <w:sz w:val="24"/>
        </w:rPr>
        <w:t>中以自己名义单独投标或者参加其他联合体投标的，相关投标均无效。</w:t>
      </w:r>
    </w:p>
    <w:p>
      <w:pPr>
        <w:spacing w:line="360" w:lineRule="auto"/>
        <w:ind w:firstLine="550"/>
        <w:rPr>
          <w:rFonts w:hint="eastAsia" w:ascii="宋体" w:hAnsi="宋体"/>
          <w:sz w:val="24"/>
        </w:rPr>
      </w:pPr>
      <w:r>
        <w:rPr>
          <w:rFonts w:hint="eastAsia" w:ascii="宋体" w:hAnsi="宋体"/>
          <w:sz w:val="24"/>
        </w:rPr>
        <w:t>8.4联合体投标的，可以由联合体中的一方或者共同提交投标保证金，以一方名义提交保证金的，对联合体各方均具有约束力。</w:t>
      </w:r>
    </w:p>
    <w:p>
      <w:pPr>
        <w:spacing w:line="360" w:lineRule="auto"/>
        <w:ind w:firstLine="525"/>
        <w:rPr>
          <w:rFonts w:hint="eastAsia" w:ascii="宋体" w:hAnsi="宋体"/>
          <w:b/>
          <w:bCs/>
          <w:sz w:val="24"/>
        </w:rPr>
      </w:pPr>
      <w:r>
        <w:rPr>
          <w:rFonts w:hint="eastAsia" w:ascii="宋体" w:hAnsi="宋体"/>
          <w:b/>
          <w:bCs/>
          <w:sz w:val="24"/>
        </w:rPr>
        <w:t>9.投标专用章的效力</w:t>
      </w:r>
    </w:p>
    <w:p>
      <w:pPr>
        <w:spacing w:line="360" w:lineRule="auto"/>
        <w:ind w:firstLine="525"/>
        <w:rPr>
          <w:rFonts w:hint="eastAsia" w:ascii="宋体" w:hAnsi="宋体"/>
          <w:sz w:val="24"/>
        </w:rPr>
      </w:pPr>
      <w:r>
        <w:rPr>
          <w:rFonts w:hint="eastAsia" w:ascii="宋体" w:hAnsi="宋体"/>
          <w:sz w:val="24"/>
        </w:rPr>
        <w:t>9.1招标文件中明确要求加盖公章的，投标人必须加盖投标人公章。</w:t>
      </w:r>
      <w:r>
        <w:rPr>
          <w:rFonts w:ascii="宋体" w:hAnsi="宋体"/>
          <w:sz w:val="24"/>
        </w:rPr>
        <w:t>在有授权文件(原件)表明投标专用章法律效力等同于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招标人根据招标项目的实际情况，拟在中标后将中标项目的非主体、非关键性工作交由他人完成的，应在投标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bookmarkStart w:id="24" w:name="_Hlt509650690"/>
      <w:bookmarkEnd w:id="24"/>
      <w:bookmarkStart w:id="25" w:name="_Hlt509650936"/>
      <w:bookmarkEnd w:id="25"/>
      <w:bookmarkStart w:id="26" w:name="_Hlt509649795"/>
      <w:bookmarkEnd w:id="26"/>
      <w:bookmarkStart w:id="27" w:name="_Hlt509649669"/>
      <w:bookmarkEnd w:id="27"/>
      <w:bookmarkStart w:id="28" w:name="_Hlt509650116"/>
      <w:bookmarkEnd w:id="28"/>
      <w:bookmarkStart w:id="29" w:name="_Hlt509650929"/>
      <w:bookmarkEnd w:id="29"/>
      <w:bookmarkStart w:id="30" w:name="_Hlt509650932"/>
      <w:bookmarkEnd w:id="30"/>
      <w:bookmarkStart w:id="31" w:name="_Hlt509649678"/>
      <w:bookmarkEnd w:id="31"/>
      <w:bookmarkStart w:id="32" w:name="_Hlt509649645"/>
      <w:bookmarkEnd w:id="32"/>
      <w:bookmarkStart w:id="33" w:name="_Hlt526418153"/>
      <w:bookmarkEnd w:id="33"/>
      <w:bookmarkStart w:id="34" w:name="_Hlt509650103"/>
      <w:bookmarkEnd w:id="34"/>
      <w:bookmarkStart w:id="35" w:name="_Hlt509650961"/>
      <w:bookmarkEnd w:id="35"/>
      <w:bookmarkStart w:id="36" w:name="_Hlt509650333"/>
      <w:bookmarkEnd w:id="36"/>
      <w:bookmarkStart w:id="37" w:name="_Hlt509649330"/>
      <w:bookmarkEnd w:id="37"/>
      <w:r>
        <w:rPr>
          <w:rFonts w:hint="eastAsia" w:ascii="宋体" w:hAnsi="宋体"/>
          <w:b/>
          <w:bCs/>
          <w:sz w:val="24"/>
        </w:rPr>
        <w:t>11.招标信息的发布</w:t>
      </w:r>
    </w:p>
    <w:p>
      <w:pPr>
        <w:spacing w:line="360" w:lineRule="auto"/>
        <w:ind w:firstLine="550"/>
        <w:rPr>
          <w:rFonts w:hint="eastAsia" w:ascii="宋体" w:hAnsi="宋体"/>
          <w:sz w:val="28"/>
        </w:rPr>
      </w:pPr>
      <w:r>
        <w:rPr>
          <w:rFonts w:hint="eastAsia" w:ascii="宋体" w:hAnsi="宋体"/>
          <w:sz w:val="24"/>
        </w:rPr>
        <w:t>11.1与本次招标活动相关的信息，将在相关招标投标信息网上发布。</w:t>
      </w:r>
    </w:p>
    <w:p>
      <w:pPr>
        <w:pStyle w:val="5"/>
        <w:spacing w:line="360" w:lineRule="auto"/>
        <w:ind w:firstLine="628"/>
        <w:rPr>
          <w:rFonts w:hint="eastAsia" w:hAnsi="宋体"/>
          <w:sz w:val="28"/>
        </w:rPr>
      </w:pPr>
      <w:bookmarkStart w:id="38" w:name="_Toc504073353"/>
      <w:r>
        <w:rPr>
          <w:rFonts w:hint="eastAsia" w:hAnsi="宋体"/>
          <w:sz w:val="28"/>
        </w:rPr>
        <w:t>二．招标文件</w:t>
      </w:r>
      <w:bookmarkEnd w:id="38"/>
      <w:bookmarkStart w:id="39" w:name="_Hlt509649791"/>
      <w:bookmarkEnd w:id="39"/>
      <w:bookmarkStart w:id="40" w:name="_Hlt509649930"/>
      <w:bookmarkEnd w:id="40"/>
      <w:bookmarkStart w:id="41" w:name="_Hlt509650361"/>
      <w:bookmarkEnd w:id="41"/>
    </w:p>
    <w:p>
      <w:pPr>
        <w:spacing w:line="360" w:lineRule="auto"/>
        <w:ind w:firstLine="549"/>
        <w:rPr>
          <w:rFonts w:hint="eastAsia" w:ascii="宋体" w:hAnsi="宋体"/>
          <w:b/>
          <w:sz w:val="24"/>
        </w:rPr>
      </w:pPr>
      <w:bookmarkStart w:id="42" w:name="_Hlt509650734"/>
      <w:bookmarkEnd w:id="42"/>
      <w:r>
        <w:rPr>
          <w:rFonts w:hint="eastAsia" w:ascii="宋体" w:hAnsi="宋体"/>
          <w:b/>
          <w:sz w:val="24"/>
        </w:rPr>
        <w:t>12.招标文件构成</w:t>
      </w:r>
    </w:p>
    <w:p>
      <w:pPr>
        <w:spacing w:line="360" w:lineRule="auto"/>
        <w:ind w:firstLine="549"/>
        <w:rPr>
          <w:rFonts w:hint="eastAsia" w:ascii="宋体" w:hAnsi="宋体"/>
          <w:sz w:val="24"/>
        </w:rPr>
      </w:pPr>
      <w:r>
        <w:rPr>
          <w:rFonts w:hint="eastAsia" w:ascii="宋体" w:hAnsi="宋体"/>
          <w:sz w:val="24"/>
        </w:rPr>
        <w:t>12</w:t>
      </w:r>
      <w:r>
        <w:rPr>
          <w:rFonts w:ascii="宋体" w:hAnsi="宋体"/>
          <w:sz w:val="24"/>
        </w:rPr>
        <w:t>.1</w:t>
      </w:r>
      <w:r>
        <w:rPr>
          <w:rFonts w:hint="eastAsia" w:ascii="宋体" w:hAnsi="宋体"/>
          <w:sz w:val="24"/>
        </w:rPr>
        <w:t>招标文件包括以下部分：</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.1第一章：</w:t>
      </w:r>
      <w:r>
        <w:rPr>
          <w:rFonts w:hint="eastAsia" w:ascii="宋体" w:hAnsi="宋体"/>
          <w:bCs/>
          <w:sz w:val="24"/>
        </w:rPr>
        <w:t>招标公告；</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.2第二章：</w:t>
      </w:r>
      <w:bookmarkStart w:id="43" w:name="_Hlt509650925"/>
      <w:bookmarkEnd w:id="43"/>
      <w:r>
        <w:rPr>
          <w:rFonts w:hint="eastAsia" w:ascii="宋体" w:hAnsi="宋体"/>
          <w:bCs/>
          <w:sz w:val="24"/>
        </w:rPr>
        <w:t>投标人须知前附表；</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.3第三章：</w:t>
      </w:r>
      <w:r>
        <w:rPr>
          <w:rFonts w:hint="eastAsia" w:ascii="宋体" w:hAnsi="宋体"/>
          <w:bCs/>
          <w:sz w:val="24"/>
        </w:rPr>
        <w:t>招标需求；</w:t>
      </w:r>
    </w:p>
    <w:p>
      <w:pPr>
        <w:spacing w:line="360" w:lineRule="auto"/>
        <w:ind w:firstLine="523" w:firstLineChars="218"/>
        <w:rPr>
          <w:rFonts w:hint="eastAsia" w:ascii="宋体" w:hAnsi="宋体"/>
          <w:sz w:val="24"/>
        </w:rPr>
      </w:pPr>
      <w:r>
        <w:rPr>
          <w:rFonts w:hint="eastAsia" w:ascii="宋体" w:hAnsi="宋体"/>
          <w:sz w:val="24"/>
        </w:rPr>
        <w:t>12</w:t>
      </w:r>
      <w:r>
        <w:rPr>
          <w:rFonts w:ascii="宋体" w:hAnsi="宋体"/>
          <w:sz w:val="24"/>
        </w:rPr>
        <w:t>.1</w:t>
      </w:r>
      <w:r>
        <w:rPr>
          <w:rFonts w:hint="eastAsia" w:ascii="宋体" w:hAnsi="宋体"/>
          <w:sz w:val="24"/>
        </w:rPr>
        <w:t>.4第四章：</w:t>
      </w:r>
      <w:r>
        <w:rPr>
          <w:rFonts w:hint="eastAsia" w:ascii="宋体" w:hAnsi="宋体"/>
          <w:bCs/>
          <w:sz w:val="24"/>
        </w:rPr>
        <w:t>评标办法；</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.5第五章：</w:t>
      </w:r>
      <w:r>
        <w:rPr>
          <w:rFonts w:hint="eastAsia" w:ascii="宋体" w:hAnsi="宋体"/>
          <w:bCs/>
          <w:sz w:val="24"/>
        </w:rPr>
        <w:t>投标人须知；</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.6第六章：</w:t>
      </w:r>
      <w:r>
        <w:rPr>
          <w:rFonts w:hint="eastAsia" w:ascii="宋体" w:hAnsi="宋体"/>
          <w:bCs/>
          <w:sz w:val="24"/>
        </w:rPr>
        <w:t>合同；</w:t>
      </w:r>
    </w:p>
    <w:p>
      <w:pPr>
        <w:spacing w:line="360" w:lineRule="auto"/>
        <w:ind w:firstLine="523" w:firstLineChars="218"/>
        <w:rPr>
          <w:rFonts w:hint="eastAsia" w:ascii="宋体" w:hAnsi="宋体"/>
          <w:bCs/>
          <w:sz w:val="24"/>
        </w:rPr>
      </w:pPr>
      <w:r>
        <w:rPr>
          <w:rFonts w:hint="eastAsia" w:ascii="宋体" w:hAnsi="宋体"/>
          <w:sz w:val="24"/>
        </w:rPr>
        <w:t>12</w:t>
      </w:r>
      <w:r>
        <w:rPr>
          <w:rFonts w:ascii="宋体" w:hAnsi="宋体"/>
          <w:sz w:val="24"/>
        </w:rPr>
        <w:t>.1</w:t>
      </w:r>
      <w:r>
        <w:rPr>
          <w:rFonts w:hint="eastAsia" w:ascii="宋体" w:hAnsi="宋体"/>
          <w:sz w:val="24"/>
        </w:rPr>
        <w:t>.7第七章：</w:t>
      </w:r>
      <w:r>
        <w:rPr>
          <w:rFonts w:hint="eastAsia" w:ascii="宋体" w:hAnsi="宋体"/>
          <w:bCs/>
          <w:sz w:val="24"/>
        </w:rPr>
        <w:t>投标文件格式；</w:t>
      </w:r>
    </w:p>
    <w:p>
      <w:pPr>
        <w:spacing w:line="360" w:lineRule="auto"/>
        <w:ind w:firstLine="523" w:firstLineChars="218"/>
        <w:rPr>
          <w:rFonts w:hint="eastAsia" w:ascii="宋体" w:hAnsi="宋体"/>
          <w:sz w:val="24"/>
        </w:rPr>
      </w:pPr>
      <w:r>
        <w:rPr>
          <w:rFonts w:hint="eastAsia" w:ascii="宋体" w:hAnsi="宋体"/>
          <w:bCs/>
          <w:sz w:val="24"/>
        </w:rPr>
        <w:t>12.1.8利信公司发布的</w:t>
      </w:r>
      <w:r>
        <w:rPr>
          <w:rFonts w:hint="eastAsia"/>
          <w:sz w:val="24"/>
        </w:rPr>
        <w:t>图纸、答疑、补遗、补充通知等。</w:t>
      </w:r>
    </w:p>
    <w:p>
      <w:pPr>
        <w:spacing w:line="360" w:lineRule="auto"/>
        <w:ind w:firstLine="549"/>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投标人应认真阅读招标文件中所有的事项、格式、条件、条款和规范等要求。</w:t>
      </w:r>
    </w:p>
    <w:p>
      <w:pPr>
        <w:spacing w:line="360" w:lineRule="auto"/>
        <w:ind w:firstLine="550"/>
        <w:rPr>
          <w:rFonts w:hint="eastAsia" w:ascii="宋体" w:hAnsi="宋体"/>
          <w:sz w:val="24"/>
        </w:rPr>
      </w:pPr>
      <w:r>
        <w:rPr>
          <w:rFonts w:hint="eastAsia" w:ascii="宋体" w:hAnsi="宋体"/>
          <w:sz w:val="24"/>
        </w:rPr>
        <w:t>12.3投标人应当按照招标文件的要求编制投标文件。投标文件应对招标文件提出的要求和条件作出实质性响应。</w:t>
      </w:r>
    </w:p>
    <w:p>
      <w:pPr>
        <w:spacing w:line="360" w:lineRule="auto"/>
        <w:ind w:firstLine="550"/>
        <w:rPr>
          <w:rFonts w:hint="eastAsia" w:ascii="宋体" w:hAnsi="宋体"/>
          <w:sz w:val="24"/>
        </w:rPr>
      </w:pPr>
      <w:r>
        <w:rPr>
          <w:rFonts w:hint="eastAsia" w:ascii="宋体" w:hAnsi="宋体"/>
          <w:sz w:val="24"/>
        </w:rPr>
        <w:t>12.4投标人获取招标文件后，应仔细检查招标文件的所有内容，如有问题应在获得招标文件</w:t>
      </w:r>
      <w:r>
        <w:rPr>
          <w:rFonts w:ascii="宋体" w:hAnsi="宋体"/>
          <w:sz w:val="24"/>
        </w:rPr>
        <w:t>3</w:t>
      </w:r>
      <w:r>
        <w:rPr>
          <w:rFonts w:hint="eastAsia" w:ascii="宋体" w:hAnsi="宋体"/>
          <w:sz w:val="24"/>
        </w:rPr>
        <w:t>日内向利信公司提出，否则，由此引起的损失由投标人自行承担。</w:t>
      </w:r>
    </w:p>
    <w:p>
      <w:pPr>
        <w:spacing w:line="360" w:lineRule="auto"/>
        <w:ind w:firstLine="549"/>
        <w:rPr>
          <w:rFonts w:hint="eastAsia" w:ascii="宋体" w:hAnsi="宋体"/>
          <w:b/>
          <w:sz w:val="24"/>
        </w:rPr>
      </w:pPr>
      <w:r>
        <w:rPr>
          <w:rFonts w:hint="eastAsia" w:ascii="宋体" w:hAnsi="宋体"/>
          <w:b/>
          <w:sz w:val="24"/>
        </w:rPr>
        <w:t>13.答疑及招标文件的澄清与修改</w:t>
      </w:r>
    </w:p>
    <w:p>
      <w:pPr>
        <w:spacing w:line="360" w:lineRule="auto"/>
        <w:ind w:firstLine="550"/>
        <w:rPr>
          <w:rFonts w:hint="eastAsia" w:ascii="宋体" w:hAnsi="宋体"/>
          <w:sz w:val="24"/>
          <w:szCs w:val="22"/>
        </w:rPr>
      </w:pPr>
      <w:r>
        <w:rPr>
          <w:rFonts w:hint="eastAsia" w:ascii="宋体" w:hAnsi="宋体"/>
          <w:sz w:val="24"/>
        </w:rPr>
        <w:t>13</w:t>
      </w:r>
      <w:r>
        <w:rPr>
          <w:rFonts w:ascii="宋体" w:hAnsi="宋体"/>
          <w:sz w:val="24"/>
        </w:rPr>
        <w:t>.</w:t>
      </w:r>
      <w:r>
        <w:rPr>
          <w:rFonts w:hint="eastAsia" w:ascii="宋体" w:hAnsi="宋体"/>
          <w:sz w:val="24"/>
        </w:rPr>
        <w:t>1投标人如果对招标文件、工程量清单、控制价等招标文件的其他任何内容有相关疑问，可以于投标人须知前附表列明的答疑接受时间前，以多种形式向</w:t>
      </w:r>
      <w:r>
        <w:rPr>
          <w:rFonts w:hint="eastAsia" w:ascii="宋体" w:hAnsi="宋体"/>
          <w:sz w:val="24"/>
          <w:szCs w:val="22"/>
          <w:lang w:eastAsia="zh-CN"/>
        </w:rPr>
        <w:t>安徽国翠玉艺股份有限公司</w:t>
      </w:r>
      <w:r>
        <w:rPr>
          <w:rFonts w:hint="eastAsia" w:ascii="宋体" w:hAnsi="宋体"/>
          <w:sz w:val="24"/>
          <w:szCs w:val="22"/>
        </w:rPr>
        <w:t>公司提出（疑问文件以文档形式提供，如WORD文档等）。</w:t>
      </w:r>
    </w:p>
    <w:p>
      <w:pPr>
        <w:spacing w:line="360" w:lineRule="auto"/>
        <w:ind w:firstLine="550"/>
        <w:rPr>
          <w:rFonts w:ascii="宋体" w:hAnsi="宋体"/>
          <w:sz w:val="24"/>
        </w:rPr>
      </w:pPr>
      <w:r>
        <w:rPr>
          <w:rFonts w:hint="eastAsia" w:ascii="宋体" w:hAnsi="宋体"/>
          <w:sz w:val="24"/>
        </w:rPr>
        <w:t>13.1.1除非招标文件明确约定，否则，如招标文件存在不一致时，优先顺序如下：（1）招标公告；（2）投标人须知前附表；（3）招标需求；（4）评标办法；（5）其他。</w:t>
      </w:r>
    </w:p>
    <w:p>
      <w:pPr>
        <w:spacing w:line="360" w:lineRule="auto"/>
        <w:ind w:firstLine="550"/>
        <w:rPr>
          <w:rFonts w:hint="eastAsia" w:ascii="宋体" w:hAnsi="宋体"/>
          <w:sz w:val="24"/>
        </w:rPr>
      </w:pPr>
      <w:r>
        <w:rPr>
          <w:rFonts w:hint="eastAsia" w:ascii="宋体" w:hAnsi="宋体"/>
          <w:sz w:val="24"/>
        </w:rPr>
        <w:t xml:space="preserve">13.1.2除非招标文件明确约定，否则，如招标文件及其他附件资料之间存在不一致时，以要求严格或质量等级高的为准。 </w:t>
      </w:r>
    </w:p>
    <w:p>
      <w:pPr>
        <w:spacing w:line="360" w:lineRule="auto"/>
        <w:ind w:firstLine="550"/>
        <w:rPr>
          <w:rFonts w:hint="eastAsia" w:ascii="宋体" w:hAnsi="宋体"/>
          <w:sz w:val="24"/>
        </w:rPr>
      </w:pPr>
      <w:r>
        <w:rPr>
          <w:rFonts w:hint="eastAsia" w:ascii="宋体" w:hAnsi="宋体"/>
          <w:sz w:val="24"/>
        </w:rPr>
        <w:t>13.2</w:t>
      </w:r>
      <w:r>
        <w:rPr>
          <w:rFonts w:ascii="宋体" w:hAnsi="宋体"/>
          <w:sz w:val="24"/>
        </w:rPr>
        <w:t>疑问的提出与答疑获取具体步骤：</w:t>
      </w:r>
      <w:r>
        <w:rPr>
          <w:rFonts w:hint="eastAsia" w:ascii="宋体" w:hAnsi="宋体"/>
          <w:sz w:val="24"/>
        </w:rPr>
        <w:t>投标人若对招标文件有任何疑问，应于投标截止时间前10以书面形式向招标代理机构以书面（word格式及加盖单位公章的扫描件）形式提出并发送至邮箱,逾期概不受理。无论是招标人根据需要主动对招标文件进行必要的澄清，或是根据投标人的要求对招标文件做出澄清，招标人都将于投标截止时间前以书面形式予以澄清，将书面澄清文件向所有已购买招标文件的各潜在投标人发送。各潜在投标人在收到该澄清文件后应当立即以书面形式给予确认，该澄清作为招标文件的组成部分，具有约束作用。投标单位对招标单位或招标代理机构提供的招标文件所做出的推论、解释和结论，招标单位或招标代理机构概不负责。投标单位由于对招标文件的任何推论误解以及招标单位或招标代理机构对有关问题的口头解释所造成的后果，均由投标单位自负。</w:t>
      </w:r>
    </w:p>
    <w:p>
      <w:pPr>
        <w:spacing w:line="360" w:lineRule="auto"/>
        <w:ind w:firstLine="550"/>
        <w:rPr>
          <w:rFonts w:hint="eastAsia" w:ascii="宋体" w:hAnsi="宋体"/>
          <w:sz w:val="24"/>
        </w:rPr>
      </w:pPr>
      <w:r>
        <w:rPr>
          <w:rFonts w:hint="eastAsia" w:ascii="宋体" w:hAnsi="宋体"/>
          <w:sz w:val="24"/>
        </w:rPr>
        <w:t>13.3</w:t>
      </w:r>
      <w:r>
        <w:rPr>
          <w:rFonts w:hint="eastAsia" w:ascii="宋体" w:hAnsi="宋体"/>
          <w:sz w:val="24"/>
          <w:szCs w:val="22"/>
          <w:lang w:eastAsia="zh-CN"/>
        </w:rPr>
        <w:t>安徽国翠玉艺股份有限公司</w:t>
      </w:r>
      <w:r>
        <w:rPr>
          <w:rFonts w:hint="eastAsia" w:ascii="宋体" w:hAnsi="宋体"/>
          <w:sz w:val="24"/>
          <w:szCs w:val="22"/>
        </w:rPr>
        <w:t>公司对招</w:t>
      </w:r>
      <w:r>
        <w:rPr>
          <w:rFonts w:hint="eastAsia" w:ascii="宋体" w:hAnsi="宋体"/>
          <w:sz w:val="24"/>
        </w:rPr>
        <w:t>标文件进行的答疑、澄清、变更或补充，将已邮件形式通知每一位投标人，该邮件内容为招标文件的组成部分，对投标人具有同样约束力效力。当招标文件和招标文件的答疑、澄清、变更或补充等在同一内容的表述上不一致时，以最后发出的书面文件为准。投标人应主动上网查询。利信公司不承担投标人未及时关注相关信息引发的相关责任。</w:t>
      </w:r>
    </w:p>
    <w:p>
      <w:pPr>
        <w:spacing w:line="360" w:lineRule="auto"/>
        <w:ind w:firstLine="550"/>
        <w:rPr>
          <w:rFonts w:hint="eastAsia" w:ascii="宋体" w:hAnsi="宋体"/>
          <w:sz w:val="24"/>
        </w:rPr>
      </w:pPr>
      <w:r>
        <w:rPr>
          <w:rFonts w:hint="eastAsia" w:ascii="宋体" w:hAnsi="宋体"/>
          <w:sz w:val="24"/>
        </w:rPr>
        <w:t>13.4在投标截止时间前，</w:t>
      </w:r>
      <w:r>
        <w:rPr>
          <w:rFonts w:hint="eastAsia" w:ascii="宋体" w:hAnsi="宋体"/>
          <w:sz w:val="24"/>
          <w:szCs w:val="22"/>
          <w:lang w:eastAsia="zh-CN"/>
        </w:rPr>
        <w:t>安徽国翠玉艺股份有限公司</w:t>
      </w:r>
      <w:r>
        <w:rPr>
          <w:rFonts w:hint="eastAsia" w:ascii="宋体" w:hAnsi="宋体"/>
          <w:sz w:val="24"/>
        </w:rPr>
        <w:t>可以视招标具体情况，延长投标截止时间和开标时间，并在招标文件要求提交投标文件的截止时间三日前，在网站上发布变更公告。在上述情况下，</w:t>
      </w:r>
      <w:r>
        <w:rPr>
          <w:rFonts w:hint="eastAsia" w:ascii="宋体" w:hAnsi="宋体"/>
          <w:sz w:val="24"/>
          <w:szCs w:val="22"/>
          <w:lang w:eastAsia="zh-CN"/>
        </w:rPr>
        <w:t>安徽国翠玉艺股份有限公司</w:t>
      </w:r>
      <w:r>
        <w:rPr>
          <w:rFonts w:hint="eastAsia" w:ascii="宋体" w:hAnsi="宋体"/>
          <w:sz w:val="24"/>
        </w:rPr>
        <w:t>和投标人在投标截止期方面的全部权力、责任和义务，将适用于延长后新的投标截止期。</w:t>
      </w:r>
    </w:p>
    <w:p>
      <w:pPr>
        <w:spacing w:line="360" w:lineRule="auto"/>
        <w:ind w:firstLine="550"/>
        <w:rPr>
          <w:rFonts w:hint="eastAsia" w:ascii="宋体" w:hAnsi="宋体"/>
          <w:sz w:val="28"/>
        </w:rPr>
      </w:pPr>
      <w:r>
        <w:rPr>
          <w:rFonts w:hint="eastAsia" w:ascii="宋体" w:hAnsi="宋体"/>
          <w:sz w:val="24"/>
        </w:rPr>
        <w:t>13.5特殊情况下，</w:t>
      </w:r>
      <w:r>
        <w:rPr>
          <w:rFonts w:hint="eastAsia" w:ascii="宋体" w:hAnsi="宋体"/>
          <w:sz w:val="24"/>
          <w:szCs w:val="22"/>
          <w:lang w:eastAsia="zh-CN"/>
        </w:rPr>
        <w:t>安徽国翠玉艺股份有限公司</w:t>
      </w:r>
      <w:r>
        <w:rPr>
          <w:rFonts w:hint="eastAsia" w:ascii="宋体" w:hAnsi="宋体"/>
          <w:sz w:val="24"/>
        </w:rPr>
        <w:t>发布澄清、更正或更改公告后，征得投标人同意，可不改变投标截止时间和开标时间。</w:t>
      </w:r>
    </w:p>
    <w:p>
      <w:pPr>
        <w:pStyle w:val="5"/>
        <w:spacing w:line="360" w:lineRule="auto"/>
        <w:ind w:firstLine="628"/>
        <w:rPr>
          <w:rFonts w:hint="eastAsia" w:hAnsi="宋体"/>
          <w:sz w:val="28"/>
        </w:rPr>
      </w:pPr>
      <w:bookmarkStart w:id="44" w:name="_Hlt509649724"/>
      <w:bookmarkEnd w:id="44"/>
      <w:bookmarkStart w:id="45" w:name="_Hlt509650697"/>
      <w:bookmarkEnd w:id="45"/>
      <w:bookmarkStart w:id="46" w:name="_Hlt510342861"/>
      <w:bookmarkEnd w:id="46"/>
      <w:bookmarkStart w:id="47" w:name="_Toc504073354"/>
      <w:r>
        <w:rPr>
          <w:rFonts w:hint="eastAsia" w:hAnsi="宋体"/>
          <w:sz w:val="28"/>
        </w:rPr>
        <w:t>三．投标文件的编制</w:t>
      </w:r>
      <w:bookmarkEnd w:id="47"/>
    </w:p>
    <w:p>
      <w:pPr>
        <w:spacing w:line="360" w:lineRule="auto"/>
        <w:ind w:firstLine="550"/>
        <w:rPr>
          <w:rFonts w:hint="eastAsia" w:ascii="宋体" w:hAnsi="宋体"/>
          <w:b/>
          <w:sz w:val="24"/>
        </w:rPr>
      </w:pPr>
      <w:r>
        <w:rPr>
          <w:rFonts w:hint="eastAsia" w:ascii="宋体" w:hAnsi="宋体"/>
          <w:b/>
          <w:sz w:val="24"/>
        </w:rPr>
        <w:t>14.投标文件构成与格式</w:t>
      </w:r>
    </w:p>
    <w:p>
      <w:pPr>
        <w:spacing w:line="360" w:lineRule="auto"/>
        <w:ind w:firstLine="550"/>
        <w:rPr>
          <w:rFonts w:hint="eastAsia" w:ascii="宋体" w:hAnsi="宋体"/>
          <w:sz w:val="24"/>
        </w:rPr>
      </w:pPr>
      <w:bookmarkStart w:id="48" w:name="_Hlt509650345"/>
      <w:bookmarkEnd w:id="48"/>
      <w:r>
        <w:rPr>
          <w:rFonts w:hint="eastAsia" w:ascii="宋体" w:hAnsi="宋体"/>
          <w:sz w:val="24"/>
        </w:rPr>
        <w:t>14.1投标文件是对招标文件的实质性响应及承诺文件。</w:t>
      </w:r>
    </w:p>
    <w:p>
      <w:pPr>
        <w:spacing w:line="360" w:lineRule="auto"/>
        <w:ind w:firstLine="550"/>
        <w:jc w:val="left"/>
        <w:rPr>
          <w:rFonts w:hint="eastAsia" w:ascii="宋体" w:hAnsi="宋体"/>
          <w:sz w:val="24"/>
        </w:rPr>
      </w:pPr>
      <w:r>
        <w:rPr>
          <w:rFonts w:hint="eastAsia" w:ascii="宋体" w:hAnsi="宋体"/>
          <w:sz w:val="24"/>
        </w:rPr>
        <w:t>14.2投标文件内容应包括技术标、商务标。</w:t>
      </w:r>
      <w:r>
        <w:rPr>
          <w:rFonts w:hint="eastAsia" w:ascii="宋体" w:hAnsi="宋体"/>
          <w:bCs/>
          <w:sz w:val="24"/>
        </w:rPr>
        <w:t>除非注明“投标人</w:t>
      </w:r>
      <w:r>
        <w:rPr>
          <w:rFonts w:hint="eastAsia" w:ascii="宋体" w:hAnsi="宋体"/>
          <w:sz w:val="24"/>
        </w:rPr>
        <w:t>可自行制作格式”，投标文件应使用招标文件提供的格式。</w:t>
      </w:r>
    </w:p>
    <w:p>
      <w:pPr>
        <w:spacing w:line="360" w:lineRule="auto"/>
        <w:ind w:firstLine="550"/>
        <w:jc w:val="left"/>
        <w:rPr>
          <w:rFonts w:hint="eastAsia" w:ascii="宋体" w:hAnsi="宋体"/>
          <w:sz w:val="24"/>
        </w:rPr>
      </w:pPr>
      <w:r>
        <w:rPr>
          <w:rFonts w:hint="eastAsia" w:ascii="宋体" w:hAnsi="宋体"/>
          <w:sz w:val="24"/>
        </w:rPr>
        <w:t>14.3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pPr>
        <w:spacing w:line="360" w:lineRule="auto"/>
        <w:ind w:firstLine="550"/>
        <w:jc w:val="left"/>
        <w:rPr>
          <w:rFonts w:hint="eastAsia" w:ascii="宋体" w:hAnsi="宋体"/>
          <w:sz w:val="24"/>
        </w:rPr>
      </w:pPr>
      <w:r>
        <w:rPr>
          <w:rFonts w:hint="eastAsia" w:ascii="宋体" w:hAnsi="宋体"/>
          <w:sz w:val="24"/>
        </w:rPr>
        <w:t>14.4除非招标文件另有规定，投标文件应使用中华人民共和国法定计量单位。</w:t>
      </w:r>
    </w:p>
    <w:p>
      <w:pPr>
        <w:spacing w:line="360" w:lineRule="auto"/>
        <w:ind w:firstLine="550"/>
        <w:jc w:val="left"/>
        <w:rPr>
          <w:rFonts w:hint="eastAsia" w:ascii="宋体" w:hAnsi="宋体"/>
          <w:sz w:val="24"/>
        </w:rPr>
      </w:pPr>
      <w:r>
        <w:rPr>
          <w:rFonts w:hint="eastAsia" w:ascii="宋体" w:hAnsi="宋体"/>
          <w:sz w:val="24"/>
        </w:rPr>
        <w:t>14.5除非招标文件另有规定，投标文件应使用人民币填报所有报价。允许以多种货币报价的，或涉及合同金额等计算的，均按照中国银行在开标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rPr>
      </w:pPr>
      <w:r>
        <w:rPr>
          <w:rFonts w:hint="eastAsia" w:ascii="宋体" w:hAnsi="宋体"/>
          <w:sz w:val="24"/>
        </w:rPr>
        <w:t>14.6投标人资质证书（或资格证明）处于年检、换证、升级、变更等期间，除非法律法规或发证机构有书面材料明确表明投标人资质（或资格)有效，否则一律不予认可。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rPr>
      </w:pPr>
      <w:r>
        <w:rPr>
          <w:rFonts w:hint="eastAsia" w:ascii="宋体" w:hAnsi="宋体"/>
          <w:sz w:val="24"/>
        </w:rPr>
        <w:t>14.7投标文件应编制连续页码。投标文件除特殊规格的图纸或方案、图片资料等外，均应按A4规格制作，为节约和环保，建议投标文件双面打印。</w:t>
      </w:r>
    </w:p>
    <w:p>
      <w:pPr>
        <w:spacing w:line="360" w:lineRule="auto"/>
        <w:ind w:firstLine="550"/>
        <w:jc w:val="left"/>
        <w:rPr>
          <w:rFonts w:hint="eastAsia" w:ascii="宋体" w:hAnsi="宋体"/>
          <w:sz w:val="24"/>
        </w:rPr>
      </w:pPr>
      <w:r>
        <w:rPr>
          <w:rFonts w:hint="eastAsia" w:ascii="宋体" w:hAnsi="宋体"/>
          <w:sz w:val="24"/>
        </w:rPr>
        <w:t>14.8电报、电话、传真形式的投标概不接受。</w:t>
      </w:r>
    </w:p>
    <w:p>
      <w:pPr>
        <w:spacing w:line="360" w:lineRule="auto"/>
        <w:ind w:firstLine="550"/>
        <w:jc w:val="left"/>
        <w:rPr>
          <w:rFonts w:hint="eastAsia" w:ascii="宋体" w:hAnsi="宋体"/>
          <w:sz w:val="24"/>
        </w:rPr>
      </w:pPr>
      <w:r>
        <w:rPr>
          <w:rFonts w:hint="eastAsia" w:ascii="宋体" w:hAnsi="宋体"/>
          <w:sz w:val="24"/>
        </w:rPr>
        <w:t>14.9</w:t>
      </w:r>
      <w:r>
        <w:rPr>
          <w:rFonts w:hint="eastAsia" w:ascii="宋体" w:hAnsi="宋体"/>
          <w:sz w:val="24"/>
          <w:szCs w:val="22"/>
          <w:lang w:eastAsia="zh-CN"/>
        </w:rPr>
        <w:t>安徽国翠玉艺股份有限公司</w:t>
      </w:r>
      <w:r>
        <w:rPr>
          <w:rFonts w:hint="eastAsia" w:ascii="宋体" w:hAnsi="宋体"/>
          <w:sz w:val="24"/>
        </w:rPr>
        <w:t>一律不予退还投标人的投标文件。</w:t>
      </w:r>
    </w:p>
    <w:p>
      <w:pPr>
        <w:spacing w:line="360" w:lineRule="auto"/>
        <w:ind w:firstLine="550"/>
        <w:rPr>
          <w:rFonts w:hint="eastAsia" w:ascii="宋体" w:hAnsi="宋体"/>
          <w:sz w:val="24"/>
        </w:rPr>
      </w:pPr>
      <w:r>
        <w:rPr>
          <w:rFonts w:hint="eastAsia" w:ascii="宋体" w:hAnsi="宋体"/>
          <w:b/>
          <w:sz w:val="24"/>
        </w:rPr>
        <w:t>15.报价</w:t>
      </w:r>
    </w:p>
    <w:p>
      <w:pPr>
        <w:spacing w:line="360" w:lineRule="auto"/>
        <w:ind w:firstLine="550"/>
        <w:rPr>
          <w:rFonts w:hint="eastAsia" w:ascii="宋体" w:hAnsi="宋体"/>
          <w:sz w:val="24"/>
        </w:rPr>
      </w:pPr>
      <w:r>
        <w:rPr>
          <w:rFonts w:hint="eastAsia" w:ascii="宋体" w:hAnsi="宋体"/>
          <w:sz w:val="24"/>
        </w:rPr>
        <w:t>15.1投标人应以“标段</w:t>
      </w:r>
      <w:r>
        <w:rPr>
          <w:rFonts w:ascii="宋体" w:hAnsi="宋体"/>
          <w:sz w:val="24"/>
        </w:rPr>
        <w:t>”</w:t>
      </w:r>
      <w:r>
        <w:rPr>
          <w:rFonts w:hint="eastAsia" w:ascii="宋体" w:hAnsi="宋体"/>
          <w:sz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rPr>
      </w:pPr>
      <w:r>
        <w:rPr>
          <w:rFonts w:hint="eastAsia" w:ascii="宋体" w:hAnsi="宋体"/>
          <w:sz w:val="24"/>
        </w:rPr>
        <w:t>15.2投标人的报价应包含所投服务、保险、税费、验收和交付后约定期限内免费服务等工作所发生的一切应有费用。投标报价为签订合同的依据。</w:t>
      </w:r>
    </w:p>
    <w:p>
      <w:pPr>
        <w:spacing w:line="360" w:lineRule="auto"/>
        <w:ind w:firstLine="550"/>
        <w:rPr>
          <w:rFonts w:hint="eastAsia" w:ascii="宋体" w:hAnsi="宋体"/>
          <w:sz w:val="24"/>
        </w:rPr>
      </w:pPr>
      <w:r>
        <w:rPr>
          <w:rFonts w:hint="eastAsia" w:ascii="宋体" w:hAnsi="宋体"/>
          <w:sz w:val="24"/>
        </w:rPr>
        <w:t>15.3报价应当低于</w:t>
      </w:r>
      <w:r>
        <w:rPr>
          <w:rFonts w:ascii="宋体" w:hAnsi="宋体"/>
          <w:sz w:val="24"/>
        </w:rPr>
        <w:t>同类服务的市场平均价格。</w:t>
      </w:r>
      <w:r>
        <w:rPr>
          <w:rFonts w:hint="eastAsia" w:ascii="宋体" w:hAnsi="宋体"/>
          <w:sz w:val="24"/>
        </w:rPr>
        <w:t>除非招标文件另有规定，投标报价均不得高于招标文件（公告）列明的控制价、财政预算、项目概算。</w:t>
      </w:r>
    </w:p>
    <w:p>
      <w:pPr>
        <w:spacing w:line="360" w:lineRule="auto"/>
        <w:ind w:firstLine="550"/>
        <w:rPr>
          <w:rFonts w:hint="eastAsia" w:ascii="宋体" w:hAnsi="宋体"/>
          <w:sz w:val="24"/>
        </w:rPr>
      </w:pPr>
      <w:r>
        <w:rPr>
          <w:rFonts w:hint="eastAsia" w:ascii="宋体" w:hAnsi="宋体"/>
          <w:sz w:val="24"/>
        </w:rPr>
        <w:t>15.4除非招标文件另有规定，每一标段只允许有一个最终报价，任何有选择的报价或替代方案将导致投标无效。</w:t>
      </w:r>
    </w:p>
    <w:p>
      <w:pPr>
        <w:spacing w:line="360" w:lineRule="auto"/>
        <w:ind w:firstLine="550"/>
        <w:rPr>
          <w:rFonts w:hint="eastAsia" w:ascii="宋体" w:hAnsi="宋体"/>
          <w:sz w:val="24"/>
        </w:rPr>
      </w:pPr>
      <w:r>
        <w:rPr>
          <w:rFonts w:hint="eastAsia" w:ascii="宋体" w:hAnsi="宋体"/>
          <w:sz w:val="24"/>
        </w:rPr>
        <w:t>15.5 除非招标文件另有规定，报价应精确到小数点后两位。</w:t>
      </w:r>
    </w:p>
    <w:p>
      <w:pPr>
        <w:spacing w:line="360" w:lineRule="auto"/>
        <w:ind w:firstLine="550"/>
        <w:rPr>
          <w:rFonts w:hint="eastAsia" w:ascii="宋体" w:hAnsi="宋体"/>
          <w:sz w:val="24"/>
        </w:rPr>
      </w:pPr>
      <w:r>
        <w:rPr>
          <w:rFonts w:hint="eastAsia" w:ascii="宋体" w:hAnsi="宋体"/>
          <w:sz w:val="24"/>
        </w:rPr>
        <w:t>15.6除政策性文件规定以外，投标人所报价格在合同实施期间不因市场变化因素而变动。</w:t>
      </w:r>
    </w:p>
    <w:p>
      <w:pPr>
        <w:spacing w:line="360" w:lineRule="auto"/>
        <w:ind w:firstLine="549"/>
        <w:rPr>
          <w:rFonts w:hint="eastAsia" w:ascii="宋体" w:hAnsi="宋体"/>
          <w:b/>
          <w:bCs/>
          <w:sz w:val="24"/>
        </w:rPr>
      </w:pPr>
      <w:r>
        <w:rPr>
          <w:rFonts w:hint="eastAsia" w:ascii="宋体" w:hAnsi="宋体"/>
          <w:b/>
          <w:bCs/>
          <w:sz w:val="24"/>
        </w:rPr>
        <w:t>16.投标内容填写及说明</w:t>
      </w:r>
    </w:p>
    <w:p>
      <w:pPr>
        <w:spacing w:line="360" w:lineRule="auto"/>
        <w:ind w:firstLine="549"/>
        <w:rPr>
          <w:rFonts w:hint="eastAsia" w:ascii="宋体" w:hAnsi="宋体"/>
          <w:sz w:val="24"/>
        </w:rPr>
      </w:pPr>
      <w:r>
        <w:rPr>
          <w:rFonts w:hint="eastAsia" w:ascii="宋体" w:hAnsi="宋体"/>
          <w:sz w:val="24"/>
        </w:rPr>
        <w:t>16.1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360" w:lineRule="auto"/>
        <w:ind w:firstLine="549"/>
        <w:rPr>
          <w:rFonts w:hint="eastAsia" w:ascii="宋体" w:hAnsi="宋体"/>
          <w:sz w:val="24"/>
        </w:rPr>
      </w:pPr>
      <w:r>
        <w:rPr>
          <w:rFonts w:hint="eastAsia" w:ascii="宋体" w:hAnsi="宋体"/>
          <w:sz w:val="24"/>
        </w:rPr>
        <w:t>16.2投标人应在投标文件中提交招标文件要求的有关证明文件，作为其投标文件的一部分。</w:t>
      </w:r>
    </w:p>
    <w:p>
      <w:pPr>
        <w:spacing w:line="360" w:lineRule="auto"/>
        <w:ind w:firstLine="549"/>
        <w:rPr>
          <w:rFonts w:hint="eastAsia" w:ascii="宋体" w:hAnsi="宋体"/>
          <w:sz w:val="24"/>
        </w:rPr>
      </w:pPr>
      <w:r>
        <w:rPr>
          <w:rFonts w:hint="eastAsia" w:ascii="宋体" w:hAnsi="宋体"/>
          <w:sz w:val="24"/>
        </w:rPr>
        <w:t>16</w:t>
      </w:r>
      <w:r>
        <w:rPr>
          <w:rFonts w:ascii="宋体" w:hAnsi="宋体"/>
          <w:sz w:val="24"/>
        </w:rPr>
        <w:t>.</w:t>
      </w:r>
      <w:r>
        <w:rPr>
          <w:rFonts w:hint="eastAsia" w:ascii="宋体" w:hAnsi="宋体"/>
          <w:sz w:val="24"/>
        </w:rPr>
        <w:t>3投标人应在投标文件中提交招标文件要求的所有服务的合格性以及符合招标文件规定的证明文件（可以是手册、图纸和资料）等，并作为其投标文件的一部分。包括：</w:t>
      </w:r>
    </w:p>
    <w:p>
      <w:pPr>
        <w:spacing w:line="360" w:lineRule="auto"/>
        <w:ind w:firstLine="549"/>
        <w:rPr>
          <w:rFonts w:hint="eastAsia" w:ascii="宋体" w:hAnsi="宋体"/>
          <w:sz w:val="24"/>
        </w:rPr>
      </w:pPr>
      <w:r>
        <w:rPr>
          <w:rFonts w:hint="eastAsia" w:ascii="宋体" w:hAnsi="宋体"/>
          <w:sz w:val="24"/>
        </w:rPr>
        <w:t>16.3.1服务主要内容的详细描述；</w:t>
      </w:r>
    </w:p>
    <w:p>
      <w:pPr>
        <w:spacing w:line="360" w:lineRule="auto"/>
        <w:ind w:firstLine="549"/>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4投标文件应字迹清楚、编排有序、内容齐全、不得涂改或增删。如有错漏处必须修改，应在修改处加盖投标人公章。</w:t>
      </w:r>
    </w:p>
    <w:p>
      <w:pPr>
        <w:spacing w:line="360" w:lineRule="auto"/>
        <w:ind w:firstLine="549"/>
        <w:rPr>
          <w:rFonts w:hint="eastAsia" w:ascii="宋体" w:hAnsi="宋体"/>
          <w:b/>
          <w:sz w:val="24"/>
        </w:rPr>
      </w:pPr>
      <w:r>
        <w:rPr>
          <w:rFonts w:hint="eastAsia" w:ascii="宋体" w:hAnsi="宋体"/>
          <w:b/>
          <w:sz w:val="24"/>
        </w:rPr>
        <w:t>16.5 注意：技术标中不得出现任何有关商务报价的内容。</w:t>
      </w:r>
    </w:p>
    <w:p>
      <w:pPr>
        <w:spacing w:line="360" w:lineRule="auto"/>
        <w:ind w:firstLine="550"/>
        <w:rPr>
          <w:rFonts w:hint="eastAsia" w:ascii="宋体" w:hAnsi="宋体"/>
          <w:b/>
          <w:sz w:val="24"/>
        </w:rPr>
      </w:pPr>
      <w:r>
        <w:rPr>
          <w:rFonts w:hint="eastAsia" w:ascii="宋体" w:hAnsi="宋体"/>
          <w:b/>
          <w:sz w:val="24"/>
        </w:rPr>
        <w:t>17.投标有效期</w:t>
      </w:r>
    </w:p>
    <w:p>
      <w:pPr>
        <w:spacing w:line="360" w:lineRule="auto"/>
        <w:ind w:firstLine="550"/>
        <w:rPr>
          <w:rFonts w:hint="eastAsia" w:ascii="宋体" w:hAnsi="宋体"/>
          <w:sz w:val="24"/>
        </w:rPr>
      </w:pPr>
      <w:r>
        <w:rPr>
          <w:rFonts w:hint="eastAsia" w:ascii="宋体" w:hAnsi="宋体"/>
          <w:sz w:val="24"/>
        </w:rPr>
        <w:t>18.1为</w:t>
      </w:r>
      <w:r>
        <w:rPr>
          <w:rFonts w:ascii="宋体" w:hAnsi="宋体"/>
          <w:sz w:val="24"/>
        </w:rPr>
        <w:t>保证</w:t>
      </w:r>
      <w:r>
        <w:rPr>
          <w:rFonts w:hint="eastAsia" w:ascii="宋体" w:hAnsi="宋体"/>
          <w:sz w:val="24"/>
        </w:rPr>
        <w:t>招标人</w:t>
      </w:r>
      <w:r>
        <w:rPr>
          <w:rFonts w:ascii="宋体" w:hAnsi="宋体"/>
          <w:sz w:val="24"/>
        </w:rPr>
        <w:t>有足够的时间完成评标和与中标人签订合同</w:t>
      </w:r>
      <w:r>
        <w:rPr>
          <w:rFonts w:hint="eastAsia" w:ascii="宋体" w:hAnsi="宋体"/>
          <w:sz w:val="24"/>
        </w:rPr>
        <w:t>，规定投标有效期。投标有效期期限见投标人须知前附表。</w:t>
      </w:r>
    </w:p>
    <w:p>
      <w:pPr>
        <w:spacing w:line="360" w:lineRule="auto"/>
        <w:ind w:firstLine="550"/>
        <w:rPr>
          <w:rFonts w:hint="eastAsia" w:ascii="宋体" w:hAnsi="宋体"/>
          <w:sz w:val="24"/>
        </w:rPr>
      </w:pPr>
      <w:r>
        <w:rPr>
          <w:rFonts w:hint="eastAsia" w:ascii="宋体" w:hAnsi="宋体"/>
          <w:sz w:val="24"/>
        </w:rPr>
        <w:t>18.2在投标有效期内，投标人的投标保持有效，投标人不得要求撤销或修改其投标文件。</w:t>
      </w:r>
    </w:p>
    <w:p>
      <w:pPr>
        <w:spacing w:line="360" w:lineRule="auto"/>
        <w:ind w:firstLine="550"/>
        <w:rPr>
          <w:rFonts w:hint="eastAsia" w:ascii="宋体" w:hAnsi="宋体"/>
          <w:sz w:val="24"/>
        </w:rPr>
      </w:pPr>
      <w:r>
        <w:rPr>
          <w:rFonts w:hint="eastAsia" w:ascii="宋体" w:hAnsi="宋体"/>
          <w:sz w:val="24"/>
        </w:rPr>
        <w:t>18.3</w:t>
      </w:r>
      <w:r>
        <w:rPr>
          <w:rFonts w:ascii="宋体" w:hAnsi="宋体"/>
          <w:sz w:val="24"/>
        </w:rPr>
        <w:t>投标有效期从投标截止日起计算。</w:t>
      </w:r>
    </w:p>
    <w:p>
      <w:pPr>
        <w:spacing w:line="360" w:lineRule="auto"/>
        <w:ind w:firstLine="550"/>
        <w:rPr>
          <w:rFonts w:hint="eastAsia" w:ascii="宋体" w:hAnsi="宋体"/>
          <w:sz w:val="24"/>
        </w:rPr>
      </w:pPr>
      <w:r>
        <w:rPr>
          <w:rFonts w:hint="eastAsia" w:ascii="宋体" w:hAnsi="宋体"/>
          <w:sz w:val="24"/>
        </w:rPr>
        <w:t>18.4在原定投标有效期满之前，如果出现特殊情况，</w:t>
      </w:r>
      <w:r>
        <w:rPr>
          <w:rFonts w:hint="eastAsia" w:ascii="宋体" w:hAnsi="宋体"/>
          <w:sz w:val="24"/>
          <w:szCs w:val="22"/>
          <w:lang w:eastAsia="zh-CN"/>
        </w:rPr>
        <w:t>安徽国翠玉艺股份有限公司</w:t>
      </w:r>
      <w:r>
        <w:rPr>
          <w:rFonts w:hint="eastAsia" w:ascii="宋体" w:hAnsi="宋体"/>
          <w:sz w:val="24"/>
        </w:rPr>
        <w:t>可以书面形式提出延长投标有效期的要求。投标人以书面形式予以答复，投标人可以拒绝这种要求而不被没收投标保证金。同意延长投标有效期的投标人不允许修改其投标文件的实质性内容，且需要相应地延长投标保证金的有效期。</w:t>
      </w:r>
    </w:p>
    <w:p>
      <w:pPr>
        <w:spacing w:line="360" w:lineRule="auto"/>
        <w:ind w:firstLine="550"/>
        <w:rPr>
          <w:rFonts w:hint="eastAsia" w:ascii="宋体" w:hAnsi="宋体"/>
          <w:b/>
          <w:sz w:val="24"/>
        </w:rPr>
      </w:pPr>
      <w:r>
        <w:rPr>
          <w:rFonts w:hint="eastAsia" w:ascii="宋体" w:hAnsi="宋体"/>
          <w:b/>
          <w:sz w:val="24"/>
        </w:rPr>
        <w:t>19.投标文件份数和签署</w:t>
      </w:r>
    </w:p>
    <w:p>
      <w:pPr>
        <w:spacing w:line="360" w:lineRule="auto"/>
        <w:ind w:firstLine="550"/>
        <w:rPr>
          <w:rFonts w:hint="eastAsia"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投标人应按照投标人须知前附表的要求准备投标文件，并在封面上注明“正本”和“副本”字样。投标文件的正本与副本如有不一致之处，以正本为准。</w:t>
      </w:r>
    </w:p>
    <w:p>
      <w:pPr>
        <w:spacing w:line="360" w:lineRule="auto"/>
        <w:ind w:firstLine="550"/>
        <w:rPr>
          <w:rFonts w:hint="eastAsia"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投标文件的正本和所有的副本均需打印（热敏纸无效）。依招标文件要求加盖投标人公章。</w:t>
      </w:r>
    </w:p>
    <w:p>
      <w:pPr>
        <w:spacing w:line="360" w:lineRule="auto"/>
        <w:ind w:firstLine="550"/>
        <w:rPr>
          <w:rFonts w:hint="eastAsia" w:ascii="宋体" w:hAnsi="宋体"/>
          <w:sz w:val="28"/>
        </w:rPr>
      </w:pPr>
      <w:r>
        <w:rPr>
          <w:rFonts w:hint="eastAsia" w:ascii="宋体" w:hAnsi="宋体"/>
          <w:sz w:val="24"/>
        </w:rPr>
        <w:t>19.3 招标人保留要求中标人另行提供其投标文件电子版的权利。。</w:t>
      </w:r>
    </w:p>
    <w:p>
      <w:pPr>
        <w:pStyle w:val="5"/>
        <w:spacing w:line="360" w:lineRule="auto"/>
        <w:ind w:firstLine="628"/>
        <w:rPr>
          <w:rFonts w:hint="eastAsia" w:hAnsi="宋体"/>
          <w:sz w:val="28"/>
        </w:rPr>
      </w:pPr>
      <w:bookmarkStart w:id="49" w:name="_Hlt509650572"/>
      <w:bookmarkEnd w:id="49"/>
      <w:bookmarkStart w:id="50" w:name="_Toc504073355"/>
      <w:r>
        <w:rPr>
          <w:rFonts w:hint="eastAsia" w:hAnsi="宋体"/>
          <w:sz w:val="28"/>
        </w:rPr>
        <w:t>四．投标文件的递交</w:t>
      </w:r>
      <w:bookmarkEnd w:id="50"/>
      <w:bookmarkStart w:id="51" w:name="_Hlt509649414"/>
      <w:bookmarkEnd w:id="51"/>
    </w:p>
    <w:p>
      <w:pPr>
        <w:spacing w:line="360" w:lineRule="auto"/>
        <w:ind w:firstLine="550"/>
        <w:rPr>
          <w:rFonts w:hint="eastAsia" w:ascii="宋体" w:hAnsi="宋体"/>
          <w:b/>
          <w:sz w:val="24"/>
        </w:rPr>
      </w:pPr>
      <w:r>
        <w:rPr>
          <w:rFonts w:hint="eastAsia" w:ascii="宋体" w:hAnsi="宋体"/>
          <w:b/>
          <w:sz w:val="24"/>
        </w:rPr>
        <w:t>20.投标文件的密封和标记</w:t>
      </w:r>
    </w:p>
    <w:p>
      <w:pPr>
        <w:spacing w:line="360" w:lineRule="auto"/>
        <w:ind w:firstLine="550"/>
        <w:rPr>
          <w:rFonts w:hint="eastAsia" w:ascii="宋体" w:hAnsi="宋体"/>
          <w:b/>
          <w:sz w:val="24"/>
        </w:rPr>
      </w:pPr>
      <w:r>
        <w:rPr>
          <w:rFonts w:hint="eastAsia" w:ascii="宋体" w:hAnsi="宋体"/>
          <w:sz w:val="24"/>
        </w:rPr>
        <w:t>20.1投标文件应装订成册并封装，并在密封袋上标注项目名称、项目编号、投标人名称及包别。</w:t>
      </w:r>
    </w:p>
    <w:p>
      <w:pPr>
        <w:spacing w:line="360" w:lineRule="auto"/>
        <w:ind w:firstLine="550"/>
        <w:rPr>
          <w:rFonts w:hint="eastAsia" w:ascii="宋体" w:hAnsi="宋体"/>
          <w:sz w:val="24"/>
        </w:rPr>
      </w:pPr>
      <w:bookmarkStart w:id="52" w:name="_Hlt509650747"/>
      <w:bookmarkEnd w:id="52"/>
      <w:r>
        <w:rPr>
          <w:rFonts w:hint="eastAsia" w:ascii="宋体" w:hAnsi="宋体"/>
          <w:sz w:val="24"/>
        </w:rPr>
        <w:t>20.2建议投标人将商务标、技术标的正本分别单独封装，商务标的全部副本一起封装，技术标的全部副本一起封装。</w:t>
      </w:r>
    </w:p>
    <w:p>
      <w:pPr>
        <w:spacing w:line="360" w:lineRule="auto"/>
        <w:ind w:firstLine="550"/>
        <w:rPr>
          <w:rFonts w:hint="eastAsia" w:ascii="宋体" w:hAnsi="宋体"/>
          <w:sz w:val="24"/>
        </w:rPr>
      </w:pPr>
      <w:r>
        <w:rPr>
          <w:rFonts w:hint="eastAsia" w:ascii="宋体" w:hAnsi="宋体"/>
          <w:sz w:val="24"/>
        </w:rPr>
        <w:t>20.3应采用A4纸装订成册，并按招标文件格式要求加盖投标人公章。</w:t>
      </w:r>
    </w:p>
    <w:p>
      <w:pPr>
        <w:spacing w:line="360" w:lineRule="auto"/>
        <w:ind w:firstLine="550"/>
        <w:rPr>
          <w:rFonts w:hint="eastAsia" w:ascii="宋体" w:hAnsi="宋体"/>
          <w:sz w:val="24"/>
        </w:rPr>
      </w:pPr>
      <w:r>
        <w:rPr>
          <w:rFonts w:hint="eastAsia" w:ascii="宋体" w:hAnsi="宋体"/>
          <w:sz w:val="24"/>
        </w:rPr>
        <w:t>20.4技术标、商务标须分别封装。并在封标袋上注明项目名称、项目编号、投标人全称、技术标、商务标、正本（副本</w:t>
      </w:r>
      <w:r>
        <w:rPr>
          <w:rFonts w:ascii="宋体" w:hAnsi="宋体"/>
          <w:sz w:val="24"/>
        </w:rPr>
        <w:t>）</w:t>
      </w:r>
      <w:r>
        <w:rPr>
          <w:rFonts w:hint="eastAsia" w:ascii="宋体" w:hAnsi="宋体"/>
          <w:sz w:val="24"/>
        </w:rPr>
        <w:t>字样并加盖投标人公章。</w:t>
      </w:r>
    </w:p>
    <w:p>
      <w:pPr>
        <w:spacing w:line="360" w:lineRule="auto"/>
        <w:ind w:firstLine="550"/>
        <w:rPr>
          <w:rFonts w:hint="eastAsia" w:ascii="宋体" w:hAnsi="宋体"/>
          <w:sz w:val="24"/>
        </w:rPr>
      </w:pPr>
      <w:r>
        <w:rPr>
          <w:rFonts w:hint="eastAsia" w:ascii="宋体" w:hAnsi="宋体"/>
          <w:sz w:val="24"/>
        </w:rPr>
        <w:t>20.5如果未按规定封装或加写标记，利信公司将不承担投标文件错放或提前开封的责任，并可能导致投标无效。</w:t>
      </w:r>
    </w:p>
    <w:p>
      <w:pPr>
        <w:spacing w:line="360" w:lineRule="auto"/>
        <w:ind w:firstLine="550"/>
        <w:rPr>
          <w:rFonts w:hint="eastAsia" w:ascii="宋体" w:hAnsi="宋体"/>
          <w:b/>
          <w:sz w:val="24"/>
        </w:rPr>
      </w:pPr>
      <w:r>
        <w:rPr>
          <w:rFonts w:hint="eastAsia" w:ascii="宋体" w:hAnsi="宋体"/>
          <w:b/>
          <w:sz w:val="24"/>
        </w:rPr>
        <w:t xml:space="preserve">21.投标文件的递交 </w:t>
      </w:r>
    </w:p>
    <w:p>
      <w:pPr>
        <w:spacing w:line="360" w:lineRule="auto"/>
        <w:ind w:firstLine="550"/>
        <w:rPr>
          <w:rFonts w:hint="eastAsia" w:ascii="宋体" w:hAnsi="宋体"/>
          <w:sz w:val="24"/>
        </w:rPr>
      </w:pPr>
      <w:r>
        <w:rPr>
          <w:rFonts w:hint="eastAsia" w:ascii="宋体" w:hAnsi="宋体"/>
          <w:sz w:val="24"/>
        </w:rPr>
        <w:t>21.1投标人应当在招标文件要求提交投标文件的截止时间前，将投标文件密封送达投标人须知前附表指定开标地点。</w:t>
      </w:r>
    </w:p>
    <w:p>
      <w:pPr>
        <w:spacing w:line="360" w:lineRule="auto"/>
        <w:ind w:firstLine="550"/>
        <w:rPr>
          <w:rFonts w:hint="eastAsia" w:ascii="宋体" w:hAnsi="宋体"/>
          <w:sz w:val="24"/>
        </w:rPr>
      </w:pPr>
      <w:r>
        <w:rPr>
          <w:rFonts w:hint="eastAsia" w:ascii="宋体" w:hAnsi="宋体"/>
          <w:sz w:val="24"/>
        </w:rPr>
        <w:t>21.2在招标文件要求提交投标文件的截止时间之后送达的投标文件，为无效投标文件，利信公司将拒绝接收。</w:t>
      </w:r>
    </w:p>
    <w:p>
      <w:pPr>
        <w:spacing w:line="360" w:lineRule="auto"/>
        <w:ind w:firstLine="550"/>
        <w:rPr>
          <w:rFonts w:hint="eastAsia" w:ascii="宋体" w:hAnsi="宋体"/>
          <w:b/>
          <w:sz w:val="24"/>
        </w:rPr>
      </w:pPr>
      <w:r>
        <w:rPr>
          <w:rFonts w:hint="eastAsia" w:ascii="宋体" w:hAnsi="宋体"/>
          <w:b/>
          <w:sz w:val="24"/>
        </w:rPr>
        <w:t>22.投标文件的修改和撤回</w:t>
      </w:r>
    </w:p>
    <w:p>
      <w:pPr>
        <w:spacing w:line="360" w:lineRule="auto"/>
        <w:ind w:firstLine="550"/>
        <w:rPr>
          <w:rFonts w:hint="eastAsia" w:ascii="宋体" w:hAnsi="宋体"/>
          <w:sz w:val="24"/>
        </w:rPr>
      </w:pPr>
      <w:r>
        <w:rPr>
          <w:rFonts w:hint="eastAsia" w:ascii="宋体" w:hAnsi="宋体"/>
          <w:sz w:val="24"/>
        </w:rPr>
        <w:t>22</w:t>
      </w:r>
      <w:r>
        <w:rPr>
          <w:rFonts w:ascii="宋体" w:hAnsi="宋体"/>
          <w:sz w:val="24"/>
        </w:rPr>
        <w:t>.</w:t>
      </w:r>
      <w:r>
        <w:rPr>
          <w:rFonts w:hint="eastAsia" w:ascii="宋体" w:hAnsi="宋体"/>
          <w:sz w:val="24"/>
        </w:rPr>
        <w:t>1 投标人在递交投标文件后，可以修改或撤回其投标，但这种修改和撤回，必须在规定的投标截止日期前，并以书面形式通知利信公司。在投标截止时间后，投标人不得再要求修改或撤回其投标文件。</w:t>
      </w:r>
    </w:p>
    <w:p>
      <w:pPr>
        <w:spacing w:line="360" w:lineRule="auto"/>
        <w:ind w:firstLine="550"/>
        <w:rPr>
          <w:rFonts w:hint="eastAsia" w:ascii="宋体" w:hAnsi="宋体"/>
          <w:sz w:val="28"/>
        </w:rPr>
      </w:pPr>
      <w:r>
        <w:rPr>
          <w:rFonts w:hint="eastAsia" w:ascii="宋体" w:hAnsi="宋体"/>
          <w:sz w:val="24"/>
        </w:rPr>
        <w:t>22</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5"/>
        <w:spacing w:line="360" w:lineRule="auto"/>
        <w:ind w:firstLine="628"/>
        <w:rPr>
          <w:rFonts w:hint="eastAsia" w:hAnsi="宋体"/>
          <w:sz w:val="28"/>
        </w:rPr>
      </w:pPr>
      <w:bookmarkStart w:id="53" w:name="_Hlt509649294"/>
      <w:bookmarkEnd w:id="53"/>
      <w:bookmarkStart w:id="54" w:name="_Toc504073356"/>
      <w:r>
        <w:rPr>
          <w:rFonts w:hint="eastAsia" w:hAnsi="宋体"/>
          <w:sz w:val="28"/>
        </w:rPr>
        <w:t>五．开标与评标</w:t>
      </w:r>
      <w:bookmarkEnd w:id="54"/>
    </w:p>
    <w:p>
      <w:pPr>
        <w:spacing w:line="360" w:lineRule="auto"/>
        <w:ind w:firstLine="550"/>
        <w:rPr>
          <w:rFonts w:hint="eastAsia" w:ascii="宋体" w:hAnsi="宋体"/>
          <w:b/>
          <w:sz w:val="24"/>
        </w:rPr>
      </w:pPr>
      <w:r>
        <w:rPr>
          <w:rFonts w:hint="eastAsia" w:ascii="宋体" w:hAnsi="宋体"/>
          <w:b/>
          <w:sz w:val="24"/>
        </w:rPr>
        <w:t>23.开标</w:t>
      </w:r>
    </w:p>
    <w:p>
      <w:pPr>
        <w:spacing w:line="360" w:lineRule="auto"/>
        <w:ind w:firstLine="550"/>
        <w:rPr>
          <w:rFonts w:hint="eastAsia" w:ascii="宋体" w:hAnsi="宋体"/>
          <w:sz w:val="24"/>
        </w:rPr>
      </w:pPr>
      <w:r>
        <w:rPr>
          <w:rFonts w:hint="eastAsia" w:ascii="宋体" w:hAnsi="宋体"/>
          <w:sz w:val="24"/>
        </w:rPr>
        <w:t>23.1</w:t>
      </w:r>
      <w:r>
        <w:rPr>
          <w:rFonts w:hint="eastAsia" w:ascii="宋体" w:hAnsi="宋体"/>
          <w:sz w:val="24"/>
          <w:szCs w:val="22"/>
          <w:lang w:eastAsia="zh-CN"/>
        </w:rPr>
        <w:t>安徽国翠玉艺股份有限公司</w:t>
      </w:r>
      <w:r>
        <w:rPr>
          <w:rFonts w:hint="eastAsia" w:ascii="宋体" w:hAnsi="宋体"/>
          <w:sz w:val="24"/>
        </w:rPr>
        <w:t>将在投标</w:t>
      </w:r>
      <w:bookmarkStart w:id="55" w:name="_Hlt509649432"/>
      <w:bookmarkEnd w:id="55"/>
      <w:r>
        <w:rPr>
          <w:rFonts w:hint="eastAsia" w:ascii="宋体" w:hAnsi="宋体"/>
          <w:sz w:val="24"/>
        </w:rPr>
        <w:t>人须知前附表规定的时间和地点组织公开开标。投标人授权代表应携带身份证明参加并签到。</w:t>
      </w:r>
    </w:p>
    <w:p>
      <w:pPr>
        <w:spacing w:line="360" w:lineRule="auto"/>
        <w:ind w:firstLine="550"/>
        <w:rPr>
          <w:rFonts w:hint="eastAsia" w:ascii="宋体" w:hAnsi="宋体"/>
          <w:sz w:val="24"/>
        </w:rPr>
      </w:pPr>
      <w:r>
        <w:rPr>
          <w:rFonts w:hint="eastAsia" w:ascii="宋体" w:hAnsi="宋体"/>
          <w:sz w:val="24"/>
        </w:rPr>
        <w:t>23.</w:t>
      </w:r>
      <w:r>
        <w:rPr>
          <w:rFonts w:hint="eastAsia" w:ascii="宋体" w:hAnsi="宋体"/>
          <w:bCs/>
          <w:sz w:val="24"/>
        </w:rPr>
        <w:t>2开标前，</w:t>
      </w:r>
      <w:r>
        <w:rPr>
          <w:rFonts w:hint="eastAsia" w:ascii="宋体" w:hAnsi="宋体"/>
          <w:sz w:val="24"/>
          <w:szCs w:val="22"/>
          <w:lang w:eastAsia="zh-CN"/>
        </w:rPr>
        <w:t>安徽国翠玉艺股份有限公司</w:t>
      </w:r>
      <w:r>
        <w:rPr>
          <w:rFonts w:hint="eastAsia" w:ascii="宋体" w:hAnsi="宋体"/>
          <w:bCs/>
          <w:sz w:val="24"/>
        </w:rPr>
        <w:t>将会同监督员或公证人员进行验标（检查投标文件密封情况），并宣布检查结果。确认无误后开标。</w:t>
      </w:r>
    </w:p>
    <w:p>
      <w:pPr>
        <w:spacing w:line="360" w:lineRule="auto"/>
        <w:ind w:firstLine="549"/>
        <w:rPr>
          <w:rFonts w:hint="eastAsia" w:ascii="宋体" w:hAnsi="宋体"/>
          <w:bCs/>
          <w:sz w:val="24"/>
        </w:rPr>
      </w:pPr>
      <w:r>
        <w:rPr>
          <w:rFonts w:hint="eastAsia" w:ascii="宋体" w:hAnsi="宋体"/>
          <w:bCs/>
          <w:sz w:val="24"/>
        </w:rPr>
        <w:t>23.3投标资格及投标文件的法律文本将由评审委员会在评标前进行审查。资格不符合招标文件要求和相关法律规定的，投标无效。</w:t>
      </w:r>
    </w:p>
    <w:p>
      <w:pPr>
        <w:spacing w:line="360" w:lineRule="auto"/>
        <w:ind w:firstLine="549"/>
        <w:rPr>
          <w:rFonts w:hint="eastAsia" w:ascii="宋体" w:hAnsi="宋体"/>
          <w:bCs/>
          <w:sz w:val="24"/>
        </w:rPr>
      </w:pPr>
      <w:r>
        <w:rPr>
          <w:rFonts w:hint="eastAsia" w:ascii="宋体" w:hAnsi="宋体"/>
          <w:bCs/>
          <w:sz w:val="24"/>
        </w:rPr>
        <w:t>23.4</w:t>
      </w:r>
      <w:r>
        <w:rPr>
          <w:rFonts w:hint="eastAsia" w:ascii="宋体" w:hAnsi="宋体"/>
          <w:bCs/>
          <w:sz w:val="24"/>
          <w:szCs w:val="24"/>
        </w:rPr>
        <w:t>评委会先对各投标人的技术标进行评审</w:t>
      </w:r>
      <w:r>
        <w:rPr>
          <w:rFonts w:hint="eastAsia" w:ascii="宋体" w:hAnsi="宋体"/>
          <w:sz w:val="24"/>
          <w:szCs w:val="24"/>
        </w:rPr>
        <w:t>，评审结束后再进行商务标开标。</w:t>
      </w:r>
    </w:p>
    <w:p>
      <w:pPr>
        <w:spacing w:line="360" w:lineRule="auto"/>
        <w:ind w:firstLine="549"/>
        <w:rPr>
          <w:rFonts w:hint="eastAsia" w:ascii="宋体" w:hAnsi="宋体"/>
          <w:bCs/>
          <w:sz w:val="24"/>
        </w:rPr>
      </w:pPr>
      <w:r>
        <w:rPr>
          <w:rFonts w:hint="eastAsia" w:ascii="宋体" w:hAnsi="宋体"/>
          <w:bCs/>
          <w:sz w:val="24"/>
        </w:rPr>
        <w:t>23.5 商务标开标时，</w:t>
      </w:r>
      <w:r>
        <w:rPr>
          <w:rFonts w:hint="eastAsia" w:ascii="宋体" w:hAnsi="宋体"/>
          <w:sz w:val="24"/>
          <w:szCs w:val="22"/>
          <w:lang w:eastAsia="zh-CN"/>
        </w:rPr>
        <w:t>安徽国翠玉艺股份有限公司</w:t>
      </w:r>
      <w:r>
        <w:rPr>
          <w:rFonts w:hint="eastAsia" w:ascii="宋体" w:hAnsi="宋体"/>
          <w:bCs/>
          <w:sz w:val="24"/>
        </w:rPr>
        <w:t>将当众宣读投标人名称、投标价格、书面修改和撤回投标的通知，以</w:t>
      </w:r>
      <w:r>
        <w:rPr>
          <w:rFonts w:hint="eastAsia" w:ascii="宋体" w:hAnsi="宋体"/>
          <w:sz w:val="24"/>
          <w:szCs w:val="22"/>
          <w:lang w:eastAsia="zh-CN"/>
        </w:rPr>
        <w:t>安徽国翠玉艺股份有限公司</w:t>
      </w:r>
      <w:r>
        <w:rPr>
          <w:rFonts w:hint="eastAsia" w:ascii="宋体" w:hAnsi="宋体"/>
          <w:bCs/>
          <w:sz w:val="24"/>
        </w:rPr>
        <w:t>认为合适的其它详细内容。只有在开标时唱出的优惠，评标时才予以考虑。</w:t>
      </w:r>
    </w:p>
    <w:p>
      <w:pPr>
        <w:spacing w:line="360" w:lineRule="auto"/>
        <w:ind w:firstLine="549"/>
        <w:rPr>
          <w:rFonts w:hint="eastAsia" w:ascii="宋体" w:hAnsi="宋体"/>
          <w:bCs/>
          <w:sz w:val="24"/>
        </w:rPr>
      </w:pPr>
      <w:r>
        <w:rPr>
          <w:rFonts w:hint="eastAsia" w:ascii="宋体" w:hAnsi="宋体"/>
          <w:bCs/>
          <w:sz w:val="24"/>
        </w:rPr>
        <w:t>23.6在评审结束前，未得到</w:t>
      </w:r>
      <w:r>
        <w:rPr>
          <w:rFonts w:hint="eastAsia" w:ascii="宋体" w:hAnsi="宋体"/>
          <w:sz w:val="24"/>
          <w:szCs w:val="22"/>
          <w:lang w:eastAsia="zh-CN"/>
        </w:rPr>
        <w:t>安徽国翠玉艺股份有限公司</w:t>
      </w:r>
      <w:r>
        <w:rPr>
          <w:rFonts w:hint="eastAsia" w:ascii="宋体" w:hAnsi="宋体"/>
          <w:bCs/>
          <w:sz w:val="24"/>
        </w:rPr>
        <w:t>允许，投标人授权代表不得离开开标现场。</w:t>
      </w:r>
    </w:p>
    <w:p>
      <w:pPr>
        <w:spacing w:line="360" w:lineRule="auto"/>
        <w:ind w:firstLine="549"/>
        <w:rPr>
          <w:rFonts w:hint="eastAsia" w:ascii="宋体" w:hAnsi="宋体"/>
          <w:b/>
          <w:sz w:val="24"/>
        </w:rPr>
      </w:pPr>
      <w:r>
        <w:rPr>
          <w:rFonts w:hint="eastAsia" w:ascii="宋体" w:hAnsi="宋体"/>
          <w:b/>
          <w:sz w:val="24"/>
        </w:rPr>
        <w:t>24.投标文件的澄清、说明或补正</w:t>
      </w:r>
    </w:p>
    <w:p>
      <w:pPr>
        <w:spacing w:line="360" w:lineRule="auto"/>
        <w:ind w:firstLine="549"/>
        <w:rPr>
          <w:rFonts w:hint="eastAsia" w:ascii="宋体" w:hAnsi="宋体"/>
          <w:bCs/>
          <w:sz w:val="24"/>
        </w:rPr>
      </w:pPr>
      <w:r>
        <w:rPr>
          <w:rFonts w:hint="eastAsia" w:ascii="宋体" w:hAnsi="宋体"/>
          <w:bCs/>
          <w:sz w:val="24"/>
        </w:rPr>
        <w:t>24</w:t>
      </w:r>
      <w:r>
        <w:rPr>
          <w:rFonts w:ascii="宋体" w:hAnsi="宋体"/>
          <w:bCs/>
          <w:sz w:val="24"/>
        </w:rPr>
        <w:t>.</w:t>
      </w:r>
      <w:r>
        <w:rPr>
          <w:rFonts w:hint="eastAsia" w:ascii="宋体" w:hAnsi="宋体"/>
          <w:bCs/>
          <w:sz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hint="eastAsia" w:ascii="宋体" w:hAnsi="宋体"/>
          <w:sz w:val="24"/>
        </w:rPr>
      </w:pPr>
      <w:r>
        <w:rPr>
          <w:rFonts w:hint="eastAsia" w:ascii="宋体" w:hAnsi="宋体"/>
          <w:sz w:val="24"/>
        </w:rPr>
        <w:t>24.2投标文件中大写金额和小写金额不一致的，以大写金额为准；总价金额与按单价汇总金额不一致的，以单价金额计算结果为准；单价金额小数点有明显错位的，应以总价为准，并修改单价。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hint="eastAsia" w:ascii="宋体" w:hAnsi="宋体"/>
          <w:sz w:val="24"/>
        </w:rPr>
      </w:pPr>
      <w:r>
        <w:rPr>
          <w:rFonts w:hint="eastAsia" w:ascii="宋体" w:hAnsi="宋体"/>
          <w:sz w:val="24"/>
        </w:rPr>
        <w:t>24.3开标一览表内容与投标文件中明细表内容不一致的，以开标一览表为准。</w:t>
      </w:r>
    </w:p>
    <w:p>
      <w:pPr>
        <w:spacing w:line="360" w:lineRule="auto"/>
        <w:ind w:firstLine="549"/>
        <w:rPr>
          <w:rFonts w:hint="eastAsia" w:ascii="宋体" w:hAnsi="宋体"/>
          <w:sz w:val="24"/>
        </w:rPr>
      </w:pPr>
      <w:r>
        <w:rPr>
          <w:rFonts w:hint="eastAsia" w:ascii="宋体" w:hAnsi="宋体"/>
          <w:sz w:val="24"/>
        </w:rPr>
        <w:t>24.4 开标一览表中投标总价与投标文件中各分项报价汇总金额不一致的，按以下方式处理：</w:t>
      </w:r>
    </w:p>
    <w:p>
      <w:pPr>
        <w:spacing w:line="360" w:lineRule="auto"/>
        <w:ind w:firstLine="549"/>
        <w:rPr>
          <w:rFonts w:hint="eastAsia" w:ascii="宋体" w:hAnsi="宋体"/>
          <w:sz w:val="24"/>
        </w:rPr>
      </w:pPr>
      <w:r>
        <w:rPr>
          <w:rFonts w:hint="eastAsia" w:ascii="宋体" w:hAnsi="宋体"/>
          <w:sz w:val="24"/>
        </w:rPr>
        <w:t>24.4.1 项目以投标总价结算的，以开标一览表中投标总价为准；</w:t>
      </w:r>
    </w:p>
    <w:p>
      <w:pPr>
        <w:spacing w:line="360" w:lineRule="auto"/>
        <w:ind w:firstLine="549"/>
        <w:rPr>
          <w:rFonts w:hint="eastAsia" w:ascii="宋体" w:hAnsi="宋体"/>
          <w:sz w:val="24"/>
        </w:rPr>
      </w:pPr>
      <w:r>
        <w:rPr>
          <w:rFonts w:hint="eastAsia" w:ascii="宋体" w:hAnsi="宋体"/>
          <w:sz w:val="24"/>
        </w:rPr>
        <w:t>24.4.2项目以分项报价为准据实结算的，投标无效。</w:t>
      </w:r>
    </w:p>
    <w:p>
      <w:pPr>
        <w:spacing w:line="360" w:lineRule="auto"/>
        <w:ind w:firstLine="549"/>
        <w:rPr>
          <w:rFonts w:hint="eastAsia" w:ascii="宋体" w:hAnsi="宋体"/>
          <w:b/>
          <w:sz w:val="24"/>
        </w:rPr>
      </w:pPr>
      <w:r>
        <w:rPr>
          <w:rFonts w:hint="eastAsia" w:ascii="宋体" w:hAnsi="宋体"/>
          <w:b/>
          <w:sz w:val="24"/>
        </w:rPr>
        <w:t>25.评标</w:t>
      </w:r>
    </w:p>
    <w:p>
      <w:pPr>
        <w:spacing w:line="360" w:lineRule="auto"/>
        <w:ind w:firstLine="523" w:firstLineChars="218"/>
        <w:rPr>
          <w:rFonts w:hint="eastAsia" w:ascii="宋体" w:hAnsi="宋体"/>
          <w:b/>
          <w:sz w:val="24"/>
        </w:rPr>
      </w:pPr>
      <w:r>
        <w:rPr>
          <w:rFonts w:hint="eastAsia" w:ascii="宋体" w:hAnsi="宋体"/>
          <w:sz w:val="24"/>
        </w:rPr>
        <w:t>25.1 评委会将按照招标文件规定的评标办法对投标人独立进行评审。</w:t>
      </w:r>
    </w:p>
    <w:p>
      <w:pPr>
        <w:spacing w:line="360" w:lineRule="auto"/>
        <w:ind w:firstLine="549"/>
        <w:rPr>
          <w:rFonts w:hint="eastAsia" w:ascii="宋体" w:hAnsi="宋体"/>
          <w:sz w:val="24"/>
        </w:rPr>
      </w:pPr>
      <w:r>
        <w:rPr>
          <w:rFonts w:hint="eastAsia" w:ascii="宋体" w:hAnsi="宋体"/>
          <w:sz w:val="24"/>
        </w:rPr>
        <w:t>25</w:t>
      </w:r>
      <w:r>
        <w:rPr>
          <w:rFonts w:ascii="宋体" w:hAnsi="宋体"/>
          <w:sz w:val="24"/>
        </w:rPr>
        <w:t>.2</w:t>
      </w:r>
      <w:r>
        <w:rPr>
          <w:rFonts w:hint="eastAsia" w:ascii="宋体" w:hAnsi="宋体"/>
          <w:sz w:val="24"/>
        </w:rPr>
        <w:t>初审时，评委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hint="eastAsia" w:ascii="宋体" w:hAnsi="宋体"/>
          <w:sz w:val="24"/>
        </w:rPr>
      </w:pPr>
      <w:r>
        <w:rPr>
          <w:rFonts w:hint="eastAsia" w:ascii="宋体" w:hAnsi="宋体"/>
          <w:sz w:val="24"/>
        </w:rPr>
        <w:t>有下列情形之一的，评标委员会应当否决其投标：</w:t>
      </w:r>
    </w:p>
    <w:p>
      <w:pPr>
        <w:spacing w:line="360" w:lineRule="auto"/>
        <w:ind w:firstLine="549"/>
        <w:rPr>
          <w:rFonts w:hint="eastAsia" w:ascii="宋体" w:hAnsi="宋体"/>
          <w:sz w:val="24"/>
        </w:rPr>
      </w:pPr>
      <w:r>
        <w:rPr>
          <w:rFonts w:hint="eastAsia" w:ascii="宋体" w:hAnsi="宋体"/>
          <w:sz w:val="24"/>
        </w:rPr>
        <w:t>25.2.1</w:t>
      </w:r>
      <w:r>
        <w:rPr>
          <w:rFonts w:ascii="宋体" w:hAnsi="宋体"/>
          <w:sz w:val="24"/>
        </w:rPr>
        <w:t>投标文件未经投标单位盖章和单位负责人签字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sz w:val="24"/>
        </w:rPr>
        <w:t>25.2.2</w:t>
      </w:r>
      <w:r>
        <w:rPr>
          <w:rFonts w:ascii="宋体" w:hAnsi="宋体"/>
          <w:sz w:val="24"/>
        </w:rPr>
        <w:t>投标联合体没有提交</w:t>
      </w:r>
      <w:r>
        <w:rPr>
          <w:rFonts w:hint="eastAsia" w:ascii="宋体" w:hAnsi="宋体"/>
          <w:sz w:val="24"/>
        </w:rPr>
        <w:t>联合体</w:t>
      </w:r>
      <w:r>
        <w:rPr>
          <w:rFonts w:ascii="宋体" w:hAnsi="宋体"/>
          <w:sz w:val="24"/>
        </w:rPr>
        <w:t>协议；</w:t>
      </w:r>
    </w:p>
    <w:p>
      <w:pPr>
        <w:spacing w:line="360" w:lineRule="auto"/>
        <w:ind w:firstLine="549"/>
        <w:rPr>
          <w:rFonts w:hint="eastAsia" w:ascii="宋体" w:hAnsi="宋体"/>
          <w:sz w:val="24"/>
        </w:rPr>
      </w:pPr>
      <w:r>
        <w:rPr>
          <w:rFonts w:hint="eastAsia" w:ascii="宋体" w:hAnsi="宋体"/>
          <w:sz w:val="24"/>
        </w:rPr>
        <w:t>25.2.3投标人不符合国家或者招标文件规定的资格条件；</w:t>
      </w:r>
    </w:p>
    <w:p>
      <w:pPr>
        <w:spacing w:line="360" w:lineRule="auto"/>
        <w:ind w:firstLine="549"/>
        <w:rPr>
          <w:rFonts w:hint="eastAsia" w:ascii="宋体" w:hAnsi="宋体"/>
          <w:sz w:val="24"/>
        </w:rPr>
      </w:pPr>
      <w:r>
        <w:rPr>
          <w:rFonts w:hint="eastAsia" w:ascii="宋体" w:hAnsi="宋体"/>
          <w:sz w:val="24"/>
        </w:rPr>
        <w:t>25.2.4同一投标人提交两个以上不同的投标文件或者投标报价，但招标文件要求提交备选投标的除外；</w:t>
      </w:r>
    </w:p>
    <w:p>
      <w:pPr>
        <w:spacing w:line="360" w:lineRule="auto"/>
        <w:ind w:firstLine="549"/>
        <w:rPr>
          <w:rFonts w:hint="eastAsia" w:ascii="宋体" w:hAnsi="宋体"/>
          <w:sz w:val="24"/>
        </w:rPr>
      </w:pPr>
      <w:r>
        <w:rPr>
          <w:rFonts w:hint="eastAsia" w:ascii="宋体" w:hAnsi="宋体"/>
          <w:sz w:val="24"/>
        </w:rPr>
        <w:t>25.2.5</w:t>
      </w:r>
      <w:r>
        <w:rPr>
          <w:rFonts w:ascii="宋体" w:hAnsi="宋体"/>
          <w:sz w:val="24"/>
        </w:rPr>
        <w:t>投标报价低于成本或者高于招标文件设定的最高投标限价；</w:t>
      </w:r>
    </w:p>
    <w:p>
      <w:pPr>
        <w:spacing w:line="360" w:lineRule="auto"/>
        <w:ind w:firstLine="549"/>
        <w:rPr>
          <w:rFonts w:hint="eastAsia" w:ascii="宋体" w:hAnsi="宋体"/>
          <w:sz w:val="24"/>
        </w:rPr>
      </w:pPr>
      <w:r>
        <w:rPr>
          <w:rFonts w:hint="eastAsia" w:ascii="宋体" w:hAnsi="宋体"/>
          <w:sz w:val="24"/>
        </w:rPr>
        <w:t>25.2.6</w:t>
      </w:r>
      <w:r>
        <w:rPr>
          <w:rFonts w:ascii="宋体" w:hAnsi="宋体"/>
          <w:sz w:val="24"/>
        </w:rPr>
        <w:t>投标文件没有对招标文件的实质性要求和条件作出响应；</w:t>
      </w:r>
    </w:p>
    <w:p>
      <w:pPr>
        <w:spacing w:line="360" w:lineRule="auto"/>
        <w:ind w:firstLine="549"/>
        <w:rPr>
          <w:rFonts w:hint="eastAsia" w:ascii="宋体" w:hAnsi="宋体"/>
          <w:sz w:val="24"/>
        </w:rPr>
      </w:pPr>
      <w:r>
        <w:rPr>
          <w:rFonts w:hint="eastAsia" w:ascii="宋体" w:hAnsi="宋体"/>
          <w:sz w:val="24"/>
        </w:rPr>
        <w:t>25.2.7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sz w:val="24"/>
        </w:rPr>
        <w:t>25</w:t>
      </w:r>
      <w:r>
        <w:rPr>
          <w:rFonts w:ascii="宋体" w:hAnsi="宋体"/>
          <w:sz w:val="24"/>
        </w:rPr>
        <w:t>.</w:t>
      </w:r>
      <w:r>
        <w:rPr>
          <w:rFonts w:hint="eastAsia" w:ascii="宋体" w:hAnsi="宋体"/>
          <w:sz w:val="24"/>
        </w:rPr>
        <w:t>3初审时，评委会将审查投标文件是否符合招标文件的初审指标要求。</w:t>
      </w:r>
    </w:p>
    <w:p>
      <w:pPr>
        <w:spacing w:line="360" w:lineRule="auto"/>
        <w:ind w:firstLine="549"/>
        <w:rPr>
          <w:rFonts w:hint="eastAsia" w:ascii="宋体" w:hAnsi="宋体"/>
          <w:sz w:val="24"/>
        </w:rPr>
      </w:pPr>
      <w:r>
        <w:rPr>
          <w:rFonts w:hint="eastAsia" w:ascii="宋体" w:hAnsi="宋体"/>
          <w:sz w:val="24"/>
        </w:rPr>
        <w:t>25</w:t>
      </w:r>
      <w:r>
        <w:rPr>
          <w:rFonts w:ascii="宋体" w:hAnsi="宋体"/>
          <w:sz w:val="24"/>
        </w:rPr>
        <w:t>.</w:t>
      </w:r>
      <w:r>
        <w:rPr>
          <w:rFonts w:hint="eastAsia" w:ascii="宋体" w:hAnsi="宋体"/>
          <w:sz w:val="24"/>
        </w:rPr>
        <w:t>4如果投标文件未通过初审，投标无效。</w:t>
      </w:r>
    </w:p>
    <w:p>
      <w:pPr>
        <w:spacing w:line="360" w:lineRule="auto"/>
        <w:ind w:firstLine="549"/>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26.1在招标中，符合专业条件的投标人或对招标文件作实质响应的投标人不足规定家数的，</w:t>
      </w:r>
      <w:r>
        <w:rPr>
          <w:rFonts w:hint="eastAsia" w:ascii="宋体" w:hAnsi="宋体"/>
          <w:sz w:val="24"/>
          <w:szCs w:val="22"/>
          <w:lang w:eastAsia="zh-CN"/>
        </w:rPr>
        <w:t>安徽国翠玉艺股份有限公司</w:t>
      </w:r>
      <w:r>
        <w:rPr>
          <w:rFonts w:hint="eastAsia" w:ascii="宋体" w:hAnsi="宋体"/>
          <w:sz w:val="24"/>
        </w:rPr>
        <w:t>有权宣布流标：流标后，</w:t>
      </w:r>
      <w:r>
        <w:rPr>
          <w:rFonts w:hint="eastAsia" w:ascii="宋体" w:hAnsi="宋体"/>
          <w:sz w:val="24"/>
          <w:szCs w:val="22"/>
          <w:lang w:eastAsia="zh-CN"/>
        </w:rPr>
        <w:t>安徽国翠玉艺股份有限公司</w:t>
      </w:r>
      <w:r>
        <w:rPr>
          <w:rFonts w:hint="eastAsia" w:ascii="宋体" w:hAnsi="宋体"/>
          <w:sz w:val="24"/>
        </w:rPr>
        <w:t>会把流标理由通知所有投标人。</w:t>
      </w:r>
    </w:p>
    <w:p>
      <w:pPr>
        <w:spacing w:line="360" w:lineRule="auto"/>
        <w:ind w:firstLine="549"/>
        <w:rPr>
          <w:rFonts w:hint="eastAsia" w:ascii="宋体" w:hAnsi="宋体"/>
          <w:sz w:val="24"/>
        </w:rPr>
      </w:pPr>
      <w:r>
        <w:rPr>
          <w:rFonts w:hint="eastAsia" w:ascii="宋体" w:hAnsi="宋体"/>
          <w:sz w:val="24"/>
        </w:rPr>
        <w:t>26.2 因上条规定情形导致流标的，若招标人提出申请，报经监督管理部门批准，可现场改为竞争性谈判，投标人有下列情形之一的，不得参加谈判：</w:t>
      </w:r>
    </w:p>
    <w:p>
      <w:pPr>
        <w:spacing w:line="360" w:lineRule="auto"/>
        <w:ind w:firstLine="523" w:firstLineChars="218"/>
        <w:rPr>
          <w:rFonts w:hint="eastAsia" w:ascii="宋体" w:hAnsi="宋体"/>
          <w:sz w:val="24"/>
        </w:rPr>
      </w:pPr>
      <w:r>
        <w:rPr>
          <w:rFonts w:hint="eastAsia" w:ascii="宋体" w:hAnsi="宋体"/>
          <w:sz w:val="24"/>
        </w:rPr>
        <w:t>26.2.1未通过投标有效性评审的；</w:t>
      </w:r>
    </w:p>
    <w:p>
      <w:pPr>
        <w:spacing w:line="360" w:lineRule="auto"/>
        <w:ind w:firstLine="523" w:firstLineChars="218"/>
        <w:rPr>
          <w:rFonts w:hint="eastAsia" w:ascii="宋体" w:hAnsi="宋体"/>
          <w:sz w:val="24"/>
        </w:rPr>
      </w:pPr>
      <w:r>
        <w:rPr>
          <w:rFonts w:hint="eastAsia" w:ascii="宋体" w:hAnsi="宋体"/>
          <w:sz w:val="24"/>
        </w:rPr>
        <w:t>26.2.2未经</w:t>
      </w:r>
      <w:r>
        <w:rPr>
          <w:rFonts w:hint="eastAsia" w:ascii="宋体" w:hAnsi="宋体"/>
          <w:sz w:val="24"/>
          <w:szCs w:val="22"/>
          <w:lang w:eastAsia="zh-CN"/>
        </w:rPr>
        <w:t>安徽国翠玉艺股份有限公司</w:t>
      </w:r>
      <w:r>
        <w:rPr>
          <w:rFonts w:hint="eastAsia" w:ascii="宋体" w:hAnsi="宋体"/>
          <w:sz w:val="24"/>
        </w:rPr>
        <w:t>公司允许，离开开标现场通知不上的；</w:t>
      </w:r>
    </w:p>
    <w:p>
      <w:pPr>
        <w:spacing w:line="360" w:lineRule="auto"/>
        <w:ind w:firstLine="523" w:firstLineChars="218"/>
        <w:rPr>
          <w:rFonts w:hint="eastAsia" w:ascii="宋体" w:hAnsi="宋体"/>
          <w:sz w:val="24"/>
        </w:rPr>
      </w:pPr>
      <w:r>
        <w:rPr>
          <w:rFonts w:hint="eastAsia" w:ascii="宋体" w:hAnsi="宋体"/>
          <w:sz w:val="24"/>
        </w:rPr>
        <w:t>26.2.3有影响招标公正的违法、违规行为造成项目流标的；</w:t>
      </w:r>
    </w:p>
    <w:p>
      <w:pPr>
        <w:spacing w:line="360" w:lineRule="auto"/>
        <w:ind w:firstLine="523" w:firstLineChars="218"/>
        <w:rPr>
          <w:rFonts w:hint="eastAsia" w:ascii="宋体" w:hAnsi="宋体"/>
          <w:sz w:val="24"/>
        </w:rPr>
      </w:pPr>
      <w:r>
        <w:rPr>
          <w:rFonts w:hint="eastAsia" w:ascii="宋体" w:hAnsi="宋体"/>
          <w:sz w:val="24"/>
        </w:rPr>
        <w:t>26.2.4其他不符合竞争性谈判条件的情况。</w:t>
      </w:r>
    </w:p>
    <w:p>
      <w:pPr>
        <w:spacing w:line="360" w:lineRule="auto"/>
        <w:ind w:firstLine="549"/>
        <w:rPr>
          <w:rFonts w:hint="eastAsia" w:ascii="宋体" w:hAnsi="宋体"/>
          <w:sz w:val="24"/>
          <w:szCs w:val="24"/>
        </w:rPr>
      </w:pPr>
      <w:r>
        <w:rPr>
          <w:rFonts w:hint="eastAsia" w:ascii="宋体" w:hAnsi="宋体"/>
          <w:sz w:val="24"/>
          <w:szCs w:val="24"/>
        </w:rPr>
        <w:t>26.3招标方式现场改为竞争性谈判时，</w:t>
      </w:r>
      <w:r>
        <w:rPr>
          <w:rFonts w:hint="eastAsia" w:ascii="宋体" w:hAnsi="宋体"/>
          <w:sz w:val="24"/>
          <w:szCs w:val="22"/>
          <w:lang w:eastAsia="zh-CN"/>
        </w:rPr>
        <w:t>安徽国翠玉艺股份有限公司</w:t>
      </w:r>
      <w:r>
        <w:rPr>
          <w:rFonts w:hint="eastAsia" w:ascii="宋体" w:hAnsi="宋体"/>
          <w:sz w:val="24"/>
          <w:szCs w:val="24"/>
        </w:rPr>
        <w:t>以《招标流标现场转谈判邀请函》方式函告投标现场各投标人，投标人授权代表签字确认参加谈判。放弃谈判的视同自动放弃本项目的投标资格。竞争性谈判应当至少有两家及以上投标人参加。如参加谈判的投标人少于两家，谈判做流标处理。</w:t>
      </w:r>
    </w:p>
    <w:p>
      <w:pPr>
        <w:spacing w:line="360" w:lineRule="auto"/>
        <w:ind w:firstLine="549"/>
        <w:rPr>
          <w:rFonts w:hint="eastAsia" w:ascii="宋体" w:hAnsi="宋体"/>
          <w:sz w:val="24"/>
          <w:szCs w:val="24"/>
        </w:rPr>
      </w:pPr>
      <w:r>
        <w:rPr>
          <w:rFonts w:hint="eastAsia" w:ascii="宋体" w:hAnsi="宋体"/>
          <w:sz w:val="24"/>
          <w:szCs w:val="24"/>
        </w:rPr>
        <w:t>26.3.1招标方式现场改为竞争性谈判时谈判的资格要求、招标需求、付款条件、商务条款等原则上均按招标文件规定不变，如有变化将书面告知所有参加谈判的投标人。</w:t>
      </w:r>
    </w:p>
    <w:p>
      <w:pPr>
        <w:spacing w:line="360" w:lineRule="auto"/>
        <w:ind w:firstLine="549"/>
        <w:rPr>
          <w:rFonts w:ascii="宋体" w:hAnsi="宋体"/>
          <w:sz w:val="24"/>
          <w:szCs w:val="24"/>
        </w:rPr>
      </w:pPr>
      <w:r>
        <w:rPr>
          <w:rFonts w:hint="eastAsia" w:ascii="宋体" w:hAnsi="宋体"/>
          <w:sz w:val="24"/>
          <w:szCs w:val="24"/>
        </w:rPr>
        <w:t>招标文件原评标办法为有效最低价、符合性评审或定价招标的，现场改为竞争性谈判时，评标办法保持不变。</w:t>
      </w:r>
    </w:p>
    <w:p>
      <w:pPr>
        <w:spacing w:line="360" w:lineRule="auto"/>
        <w:ind w:firstLine="549"/>
        <w:rPr>
          <w:rFonts w:hint="eastAsia" w:ascii="宋体" w:hAnsi="宋体"/>
          <w:sz w:val="24"/>
          <w:szCs w:val="24"/>
        </w:rPr>
      </w:pPr>
      <w:r>
        <w:rPr>
          <w:rFonts w:hint="eastAsia" w:ascii="宋体" w:hAnsi="宋体"/>
          <w:sz w:val="24"/>
          <w:szCs w:val="24"/>
        </w:rPr>
        <w:t>招标文件原评标办法为综合评分法（非定价招标）或两阶段低价法或两阶段综合评分法，现场改为竞争性谈判时，评标办法变更为有效最低价：即在投标人通过符合性评审的前提下，以有效报价最低的投标人为第一中标候选人。</w:t>
      </w:r>
    </w:p>
    <w:p>
      <w:pPr>
        <w:spacing w:line="360" w:lineRule="auto"/>
        <w:ind w:firstLine="549"/>
        <w:rPr>
          <w:rFonts w:hint="eastAsia" w:ascii="宋体" w:hAnsi="宋体"/>
          <w:sz w:val="24"/>
          <w:szCs w:val="24"/>
        </w:rPr>
      </w:pPr>
      <w:r>
        <w:rPr>
          <w:rFonts w:hint="eastAsia" w:ascii="宋体" w:hAnsi="宋体"/>
          <w:sz w:val="24"/>
          <w:szCs w:val="24"/>
        </w:rPr>
        <w:t>26.3</w:t>
      </w:r>
      <w:r>
        <w:rPr>
          <w:rFonts w:ascii="宋体" w:hAnsi="宋体"/>
          <w:sz w:val="24"/>
          <w:szCs w:val="24"/>
        </w:rPr>
        <w:t>.</w:t>
      </w:r>
      <w:r>
        <w:rPr>
          <w:rFonts w:hint="eastAsia" w:ascii="宋体" w:hAnsi="宋体"/>
          <w:sz w:val="24"/>
          <w:szCs w:val="24"/>
        </w:rPr>
        <w:t>2谈判时，若投标人未能在评委会指定时间内（原则上不超过60分钟）提交符合要求的补充资料或未作出实质性响应的，投标无效。经过审查符合谈判要求的有效投标人少于两家的，谈判做流标处理。</w:t>
      </w:r>
    </w:p>
    <w:p>
      <w:pPr>
        <w:spacing w:line="360" w:lineRule="auto"/>
        <w:ind w:firstLine="549"/>
        <w:rPr>
          <w:rFonts w:hint="eastAsia" w:ascii="宋体" w:hAnsi="宋体"/>
          <w:sz w:val="24"/>
          <w:szCs w:val="24"/>
        </w:rPr>
      </w:pPr>
      <w:r>
        <w:rPr>
          <w:rFonts w:hint="eastAsia" w:ascii="宋体" w:hAnsi="宋体"/>
          <w:sz w:val="24"/>
          <w:szCs w:val="24"/>
        </w:rPr>
        <w:t>26.3</w:t>
      </w:r>
      <w:r>
        <w:rPr>
          <w:rFonts w:ascii="宋体" w:hAnsi="宋体"/>
          <w:sz w:val="24"/>
          <w:szCs w:val="24"/>
        </w:rPr>
        <w:t>.</w:t>
      </w:r>
      <w:r>
        <w:rPr>
          <w:rFonts w:hint="eastAsia" w:ascii="宋体" w:hAnsi="宋体"/>
          <w:sz w:val="24"/>
          <w:szCs w:val="24"/>
        </w:rPr>
        <w:t>3投标文件的报价视为谈判时的首次报价，未唱标转谈判的，谈判时不公开投标人各轮报价。已经唱标而转谈判的，谈判前公布各参与谈判的投标人首轮报价。</w:t>
      </w:r>
    </w:p>
    <w:p>
      <w:pPr>
        <w:spacing w:line="360" w:lineRule="auto"/>
        <w:ind w:firstLine="549"/>
        <w:rPr>
          <w:rFonts w:hint="eastAsia" w:ascii="宋体" w:hAnsi="宋体"/>
          <w:sz w:val="24"/>
          <w:szCs w:val="24"/>
        </w:rPr>
      </w:pPr>
      <w:r>
        <w:rPr>
          <w:rFonts w:hint="eastAsia" w:ascii="宋体" w:hAnsi="宋体"/>
          <w:sz w:val="24"/>
          <w:szCs w:val="24"/>
        </w:rPr>
        <w:t>26.3</w:t>
      </w:r>
      <w:r>
        <w:rPr>
          <w:rFonts w:ascii="宋体" w:hAnsi="宋体"/>
          <w:sz w:val="24"/>
          <w:szCs w:val="24"/>
        </w:rPr>
        <w:t>.</w:t>
      </w:r>
      <w:r>
        <w:rPr>
          <w:rFonts w:hint="eastAsia" w:ascii="宋体" w:hAnsi="宋体"/>
          <w:sz w:val="24"/>
          <w:szCs w:val="24"/>
        </w:rPr>
        <w:t>4在谈判内容不作实质性变更及重大调整的前提下，投标人次轮报价不得高于上一轮报价。</w:t>
      </w:r>
    </w:p>
    <w:p>
      <w:pPr>
        <w:spacing w:line="360" w:lineRule="auto"/>
        <w:ind w:firstLine="480" w:firstLineChars="200"/>
        <w:rPr>
          <w:rFonts w:hint="eastAsia" w:ascii="宋体" w:hAnsi="宋体"/>
          <w:b/>
          <w:sz w:val="24"/>
        </w:rPr>
      </w:pPr>
      <w:r>
        <w:rPr>
          <w:rFonts w:hint="eastAsia" w:ascii="宋体" w:hAnsi="宋体"/>
          <w:sz w:val="24"/>
          <w:szCs w:val="24"/>
        </w:rPr>
        <w:t>26.3</w:t>
      </w:r>
      <w:r>
        <w:rPr>
          <w:rFonts w:ascii="宋体" w:hAnsi="宋体"/>
          <w:sz w:val="24"/>
          <w:szCs w:val="24"/>
        </w:rPr>
        <w:t>.</w:t>
      </w:r>
      <w:r>
        <w:rPr>
          <w:rFonts w:hint="eastAsia" w:ascii="宋体" w:hAnsi="宋体"/>
          <w:sz w:val="24"/>
          <w:szCs w:val="24"/>
        </w:rPr>
        <w:t>5谈判时，投标人投标报价与公布的预算价（或控制价)相比降幅过小，或投标人投标报价明显缺乏竞争性的，评委会可以否决所有投标。</w:t>
      </w:r>
    </w:p>
    <w:p>
      <w:pPr>
        <w:pStyle w:val="5"/>
        <w:spacing w:line="360" w:lineRule="auto"/>
        <w:ind w:firstLine="628"/>
        <w:rPr>
          <w:rFonts w:hint="eastAsia" w:hAnsi="宋体"/>
          <w:sz w:val="28"/>
        </w:rPr>
      </w:pPr>
      <w:bookmarkStart w:id="56" w:name="_Toc504073357"/>
      <w:bookmarkStart w:id="57" w:name="_Toc516969091"/>
      <w:r>
        <w:rPr>
          <w:rFonts w:hint="eastAsia" w:hAnsi="宋体"/>
          <w:sz w:val="28"/>
        </w:rPr>
        <w:t>六．定标与签订合同</w:t>
      </w:r>
      <w:bookmarkEnd w:id="56"/>
      <w:bookmarkEnd w:id="57"/>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1评委会应当按招标文件规定的标准和方法提出独立评审意见，推荐中标候选人。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2如评委会认为有必要，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hint="eastAsia" w:ascii="宋体" w:hAnsi="宋体"/>
          <w:sz w:val="24"/>
        </w:rPr>
      </w:pPr>
      <w:r>
        <w:rPr>
          <w:rFonts w:hint="eastAsia" w:ascii="宋体" w:hAnsi="宋体"/>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27.3原则上把合同授予实质上响应招标文件要求的排名最前的中标候选人或通过上条资格审查的中标候选人。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凡发现中标候选人有下列行为之一的，其中标无效，并移交监督管理部门依法处理：</w:t>
      </w:r>
    </w:p>
    <w:p>
      <w:pPr>
        <w:spacing w:line="360" w:lineRule="auto"/>
        <w:ind w:left="549"/>
        <w:rPr>
          <w:rFonts w:hint="eastAsia" w:ascii="宋体" w:hAnsi="宋体"/>
          <w:sz w:val="24"/>
        </w:rPr>
      </w:pPr>
      <w:r>
        <w:rPr>
          <w:rFonts w:hint="eastAsia" w:ascii="宋体" w:hAnsi="宋体"/>
          <w:sz w:val="24"/>
        </w:rPr>
        <w:t>27.5.1 以他人名义投标、或提供虚假材料弄虚作假谋取中标的；</w:t>
      </w:r>
    </w:p>
    <w:p>
      <w:pPr>
        <w:spacing w:line="360" w:lineRule="auto"/>
        <w:ind w:left="549"/>
        <w:rPr>
          <w:rFonts w:hint="eastAsia" w:ascii="宋体" w:hAnsi="宋体"/>
          <w:sz w:val="24"/>
        </w:rPr>
      </w:pPr>
      <w:r>
        <w:rPr>
          <w:rFonts w:hint="eastAsia" w:ascii="宋体" w:hAnsi="宋体"/>
          <w:sz w:val="24"/>
        </w:rPr>
        <w:t>27.5.1.1以他人名义投标，是指使用通过受让或者租借等方式获取的资格、资质证书投标。</w:t>
      </w:r>
    </w:p>
    <w:p>
      <w:pPr>
        <w:spacing w:line="360" w:lineRule="auto"/>
        <w:ind w:left="549"/>
        <w:rPr>
          <w:rFonts w:hint="eastAsia" w:ascii="宋体" w:hAnsi="宋体"/>
          <w:sz w:val="24"/>
        </w:rPr>
      </w:pPr>
      <w:r>
        <w:rPr>
          <w:rFonts w:hint="eastAsia" w:ascii="宋体" w:hAnsi="宋体"/>
          <w:sz w:val="24"/>
        </w:rPr>
        <w:t>27.5.1.2有投标人有下列情形之一的，属于弄虚作假的行为：</w:t>
      </w:r>
    </w:p>
    <w:p>
      <w:pPr>
        <w:spacing w:line="360" w:lineRule="auto"/>
        <w:ind w:left="549"/>
        <w:rPr>
          <w:rFonts w:hint="eastAsia" w:ascii="宋体" w:hAnsi="宋体"/>
          <w:sz w:val="24"/>
        </w:rPr>
      </w:pPr>
      <w:r>
        <w:rPr>
          <w:rFonts w:hint="eastAsia" w:ascii="宋体" w:hAnsi="宋体"/>
          <w:sz w:val="24"/>
        </w:rPr>
        <w:t>27.5.1.2.1使用伪造、变造的许可证件；</w:t>
      </w:r>
    </w:p>
    <w:p>
      <w:pPr>
        <w:spacing w:line="360" w:lineRule="auto"/>
        <w:ind w:left="549"/>
        <w:rPr>
          <w:rFonts w:hint="eastAsia" w:ascii="宋体" w:hAnsi="宋体"/>
          <w:sz w:val="24"/>
        </w:rPr>
      </w:pPr>
      <w:r>
        <w:rPr>
          <w:rFonts w:hint="eastAsia" w:ascii="宋体" w:hAnsi="宋体"/>
          <w:sz w:val="24"/>
        </w:rPr>
        <w:t>27.5.1.2.2提供虚假的财务状况或者业绩；</w:t>
      </w:r>
    </w:p>
    <w:p>
      <w:pPr>
        <w:spacing w:line="360" w:lineRule="auto"/>
        <w:ind w:left="549"/>
        <w:rPr>
          <w:rFonts w:hint="eastAsia" w:ascii="宋体" w:hAnsi="宋体"/>
          <w:sz w:val="24"/>
        </w:rPr>
      </w:pPr>
      <w:r>
        <w:rPr>
          <w:rFonts w:hint="eastAsia" w:ascii="宋体" w:hAnsi="宋体"/>
          <w:sz w:val="24"/>
        </w:rPr>
        <w:t>27.5.1.2.3提供虚假的项目负责人或者主要技术人员简历、劳动关系证明；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27.5.1.2.4提供虚假的信用状况；</w:t>
      </w:r>
    </w:p>
    <w:p>
      <w:pPr>
        <w:spacing w:line="360" w:lineRule="auto"/>
        <w:ind w:left="549"/>
        <w:rPr>
          <w:rFonts w:hint="eastAsia" w:ascii="宋体" w:hAnsi="宋体"/>
          <w:sz w:val="24"/>
        </w:rPr>
      </w:pPr>
      <w:r>
        <w:rPr>
          <w:rFonts w:hint="eastAsia" w:ascii="宋体" w:hAnsi="宋体"/>
          <w:sz w:val="24"/>
        </w:rPr>
        <w:t>27.5.1.2.5其他弄虚作假的行为。</w:t>
      </w:r>
    </w:p>
    <w:p>
      <w:pPr>
        <w:spacing w:line="360" w:lineRule="auto"/>
        <w:ind w:left="549"/>
        <w:rPr>
          <w:rFonts w:hint="eastAsia" w:ascii="宋体" w:hAnsi="宋体"/>
          <w:sz w:val="24"/>
        </w:rPr>
      </w:pPr>
      <w:r>
        <w:rPr>
          <w:rFonts w:hint="eastAsia" w:ascii="宋体" w:hAnsi="宋体"/>
          <w:sz w:val="24"/>
        </w:rPr>
        <w:t>27.5.2与招标人、其他供应商或者</w:t>
      </w:r>
      <w:r>
        <w:rPr>
          <w:rFonts w:hint="eastAsia" w:ascii="宋体" w:hAnsi="宋体"/>
          <w:sz w:val="24"/>
          <w:szCs w:val="22"/>
          <w:lang w:eastAsia="zh-CN"/>
        </w:rPr>
        <w:t>安徽国翠玉艺股份有限公司</w:t>
      </w:r>
      <w:r>
        <w:rPr>
          <w:rFonts w:hint="eastAsia" w:ascii="宋体" w:hAnsi="宋体"/>
          <w:sz w:val="24"/>
        </w:rPr>
        <w:t>公司工作人员恶意串通的；</w:t>
      </w:r>
    </w:p>
    <w:p>
      <w:pPr>
        <w:spacing w:line="360" w:lineRule="auto"/>
        <w:ind w:left="549"/>
        <w:rPr>
          <w:rFonts w:hint="eastAsia" w:ascii="宋体" w:hAnsi="宋体"/>
          <w:sz w:val="24"/>
        </w:rPr>
      </w:pPr>
      <w:r>
        <w:rPr>
          <w:rFonts w:hint="eastAsia" w:ascii="宋体" w:hAnsi="宋体"/>
          <w:sz w:val="24"/>
        </w:rPr>
        <w:t>27.5.3向招标人、评审专家、</w:t>
      </w:r>
      <w:r>
        <w:rPr>
          <w:rFonts w:hint="eastAsia" w:ascii="宋体" w:hAnsi="宋体"/>
          <w:sz w:val="24"/>
          <w:szCs w:val="22"/>
          <w:lang w:eastAsia="zh-CN"/>
        </w:rPr>
        <w:t>安徽国翠玉艺股份有限公司</w:t>
      </w:r>
      <w:r>
        <w:rPr>
          <w:rFonts w:hint="eastAsia" w:ascii="宋体" w:hAnsi="宋体"/>
          <w:sz w:val="24"/>
        </w:rPr>
        <w:t>工作人员行贿或者提供其他不正当利益的；</w:t>
      </w:r>
    </w:p>
    <w:p>
      <w:pPr>
        <w:spacing w:line="360" w:lineRule="auto"/>
        <w:ind w:firstLine="549"/>
        <w:rPr>
          <w:rFonts w:hint="eastAsia" w:ascii="宋体" w:hAnsi="宋体"/>
          <w:sz w:val="24"/>
        </w:rPr>
      </w:pPr>
      <w:r>
        <w:rPr>
          <w:rFonts w:hint="eastAsia" w:ascii="宋体" w:hAnsi="宋体"/>
          <w:sz w:val="24"/>
        </w:rPr>
        <w:t>27.5.4有法律、法规规定的其他损害招标人利益和社会公共利益情形的；</w:t>
      </w:r>
    </w:p>
    <w:p>
      <w:pPr>
        <w:spacing w:line="360" w:lineRule="auto"/>
        <w:ind w:firstLine="549"/>
        <w:rPr>
          <w:rFonts w:hint="eastAsia" w:ascii="宋体" w:hAnsi="宋体"/>
          <w:sz w:val="24"/>
        </w:rPr>
      </w:pPr>
      <w:r>
        <w:rPr>
          <w:rFonts w:hint="eastAsia" w:ascii="宋体" w:hAnsi="宋体"/>
          <w:sz w:val="24"/>
        </w:rPr>
        <w:t>27.5.5其他违反招投标法律、法规和规章强制性规定的行为。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w:t>
      </w:r>
      <w:r>
        <w:rPr>
          <w:rFonts w:hint="eastAsia" w:ascii="宋体" w:hAnsi="宋体"/>
          <w:sz w:val="24"/>
          <w:szCs w:val="22"/>
          <w:lang w:eastAsia="zh-CN"/>
        </w:rPr>
        <w:t>安徽国翠玉艺股份有限公司</w:t>
      </w:r>
      <w:r>
        <w:rPr>
          <w:rFonts w:hint="eastAsia" w:ascii="宋体" w:hAnsi="宋体"/>
          <w:sz w:val="24"/>
        </w:rPr>
        <w:t>可能会同招标人对中标候选人进行约谈。约谈包括诚信承诺、履约承诺以及原件核查等内容，约谈确认中标候选人无法实质性响应招标文件要求的，中标无效。</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szCs w:val="22"/>
          <w:lang w:eastAsia="zh-CN"/>
        </w:rPr>
        <w:t>安徽国翠玉艺股份有限公司</w:t>
      </w:r>
      <w:r>
        <w:rPr>
          <w:rFonts w:hint="eastAsia" w:ascii="宋体" w:hAnsi="宋体"/>
          <w:sz w:val="24"/>
        </w:rPr>
        <w:t>将在网站上发布评审结果公告，公示期为3个工作日，期满无异议则自动转为中标公告。</w:t>
      </w:r>
    </w:p>
    <w:p>
      <w:pPr>
        <w:spacing w:line="360" w:lineRule="auto"/>
        <w:ind w:firstLine="549"/>
        <w:rPr>
          <w:rFonts w:hint="eastAsia" w:ascii="宋体" w:hAnsi="宋体"/>
          <w:b/>
          <w:sz w:val="24"/>
        </w:rPr>
      </w:pPr>
      <w:r>
        <w:rPr>
          <w:rFonts w:hint="eastAsia" w:ascii="宋体" w:hAnsi="宋体"/>
          <w:b/>
          <w:sz w:val="24"/>
        </w:rPr>
        <w:t>28.中标通知书</w:t>
      </w:r>
    </w:p>
    <w:p>
      <w:pPr>
        <w:spacing w:line="360" w:lineRule="auto"/>
        <w:ind w:firstLine="549"/>
        <w:rPr>
          <w:rFonts w:hint="eastAsia" w:ascii="宋体" w:hAnsi="宋体"/>
          <w:sz w:val="24"/>
        </w:rPr>
      </w:pPr>
      <w:r>
        <w:rPr>
          <w:rFonts w:hint="eastAsia" w:ascii="宋体" w:hAnsi="宋体"/>
          <w:sz w:val="24"/>
        </w:rPr>
        <w:t>28</w:t>
      </w:r>
      <w:r>
        <w:rPr>
          <w:rFonts w:ascii="宋体" w:hAnsi="宋体"/>
          <w:sz w:val="24"/>
        </w:rPr>
        <w:t>.1</w:t>
      </w:r>
      <w:r>
        <w:rPr>
          <w:rFonts w:hint="eastAsia" w:ascii="宋体" w:hAnsi="宋体"/>
          <w:sz w:val="24"/>
          <w:szCs w:val="22"/>
          <w:lang w:eastAsia="zh-CN"/>
        </w:rPr>
        <w:t>安徽国翠玉艺股份有限公司</w:t>
      </w:r>
      <w:r>
        <w:rPr>
          <w:rFonts w:hint="eastAsia" w:ascii="宋体" w:hAnsi="宋体"/>
          <w:sz w:val="24"/>
        </w:rPr>
        <w:t>将以中标通知书形式通知中标人，其投标已被接受。</w:t>
      </w:r>
    </w:p>
    <w:p>
      <w:pPr>
        <w:spacing w:line="360" w:lineRule="auto"/>
        <w:ind w:firstLine="549"/>
        <w:rPr>
          <w:rFonts w:hint="eastAsia" w:ascii="宋体" w:hAnsi="宋体"/>
          <w:sz w:val="24"/>
        </w:rPr>
      </w:pPr>
      <w:r>
        <w:rPr>
          <w:rFonts w:hint="eastAsia" w:ascii="宋体" w:hAnsi="宋体"/>
          <w:sz w:val="24"/>
        </w:rPr>
        <w:t>28</w:t>
      </w:r>
      <w:r>
        <w:rPr>
          <w:rFonts w:ascii="宋体" w:hAnsi="宋体"/>
          <w:sz w:val="24"/>
        </w:rPr>
        <w:t>.</w:t>
      </w:r>
      <w:r>
        <w:rPr>
          <w:rFonts w:hint="eastAsia" w:ascii="宋体" w:hAnsi="宋体"/>
          <w:sz w:val="24"/>
        </w:rPr>
        <w:t>2</w:t>
      </w:r>
      <w:r>
        <w:rPr>
          <w:rFonts w:hint="eastAsia" w:ascii="宋体" w:hAnsi="宋体"/>
          <w:sz w:val="24"/>
          <w:szCs w:val="22"/>
          <w:lang w:eastAsia="zh-CN"/>
        </w:rPr>
        <w:t>安徽国翠玉艺股份有限公司</w:t>
      </w:r>
      <w:r>
        <w:rPr>
          <w:rFonts w:hint="eastAsia" w:ascii="宋体" w:hAnsi="宋体"/>
          <w:sz w:val="24"/>
        </w:rPr>
        <w:t>对未中标的投标人不做未中标原因的解释。</w:t>
      </w:r>
    </w:p>
    <w:p>
      <w:pPr>
        <w:spacing w:line="360" w:lineRule="auto"/>
        <w:ind w:firstLine="549"/>
        <w:rPr>
          <w:rFonts w:hint="eastAsia" w:ascii="宋体" w:hAnsi="宋体"/>
          <w:sz w:val="24"/>
        </w:rPr>
      </w:pPr>
      <w:r>
        <w:rPr>
          <w:rFonts w:hint="eastAsia" w:ascii="宋体" w:hAnsi="宋体"/>
          <w:sz w:val="24"/>
        </w:rPr>
        <w:t>28.3中标公示期满接</w:t>
      </w:r>
      <w:r>
        <w:rPr>
          <w:rFonts w:hint="eastAsia" w:ascii="宋体" w:hAnsi="宋体"/>
          <w:sz w:val="24"/>
          <w:szCs w:val="22"/>
          <w:lang w:eastAsia="zh-CN"/>
        </w:rPr>
        <w:t>安徽国翠玉艺股份有限公司</w:t>
      </w:r>
      <w:r>
        <w:rPr>
          <w:rFonts w:hint="eastAsia" w:ascii="宋体" w:hAnsi="宋体"/>
          <w:sz w:val="24"/>
        </w:rPr>
        <w:t>通知后，中标人请在3个工作日内委派专人凭介绍信或公司授权书（须携带身份证）到</w:t>
      </w:r>
      <w:r>
        <w:rPr>
          <w:rFonts w:hint="eastAsia" w:ascii="宋体" w:hAnsi="宋体"/>
          <w:bCs/>
          <w:sz w:val="24"/>
          <w:szCs w:val="18"/>
        </w:rPr>
        <w:t>桐城市</w:t>
      </w:r>
      <w:r>
        <w:rPr>
          <w:rFonts w:hint="eastAsia" w:ascii="宋体" w:hAnsi="宋体"/>
          <w:bCs/>
          <w:sz w:val="24"/>
          <w:szCs w:val="18"/>
          <w:u w:val="none"/>
          <w:lang w:eastAsia="zh-CN"/>
        </w:rPr>
        <w:t>物业办</w:t>
      </w:r>
      <w:r>
        <w:rPr>
          <w:rFonts w:hint="eastAsia" w:ascii="宋体" w:hAnsi="宋体"/>
          <w:sz w:val="24"/>
        </w:rPr>
        <w:t>领取中标通知书。</w:t>
      </w:r>
    </w:p>
    <w:p>
      <w:pPr>
        <w:spacing w:line="360" w:lineRule="auto"/>
        <w:ind w:firstLine="549"/>
        <w:rPr>
          <w:rFonts w:hint="eastAsia" w:ascii="宋体" w:hAnsi="宋体"/>
          <w:b/>
          <w:sz w:val="24"/>
        </w:rPr>
      </w:pPr>
      <w:r>
        <w:rPr>
          <w:rFonts w:hint="eastAsia" w:ascii="宋体" w:hAnsi="宋体"/>
          <w:b/>
          <w:sz w:val="24"/>
        </w:rPr>
        <w:t>29.签订合同</w:t>
      </w:r>
    </w:p>
    <w:p>
      <w:pPr>
        <w:spacing w:line="360" w:lineRule="auto"/>
        <w:ind w:firstLine="549"/>
        <w:rPr>
          <w:rFonts w:hint="eastAsia" w:ascii="宋体" w:hAnsi="宋体"/>
          <w:sz w:val="24"/>
        </w:rPr>
      </w:pPr>
      <w:r>
        <w:rPr>
          <w:rFonts w:hint="eastAsia" w:ascii="宋体" w:hAnsi="宋体"/>
          <w:sz w:val="24"/>
        </w:rPr>
        <w:t>29.1中标人应在中标通知书发出之日起三十日内（具体时间、地点见中标通知书）与招标人签订合同。招标文件、中标人的投标文件及澄清文件等，均作为合同的附件。</w:t>
      </w:r>
    </w:p>
    <w:p>
      <w:pPr>
        <w:spacing w:line="360" w:lineRule="auto"/>
        <w:ind w:firstLine="549"/>
        <w:rPr>
          <w:rFonts w:hint="eastAsia" w:ascii="宋体" w:hAnsi="宋体"/>
          <w:sz w:val="24"/>
        </w:rPr>
      </w:pPr>
      <w:r>
        <w:rPr>
          <w:rFonts w:hint="eastAsia" w:ascii="宋体" w:hAnsi="宋体"/>
          <w:sz w:val="24"/>
        </w:rPr>
        <w:t>29.2 招标双方必须严格按照招标文件、投标文件及有关承诺签订合同，不得擅自变更。合同的标的、价款、质量、履行期限等主要条款应当与招标文件和中标人的投标文件的内容一致，招标人和中标人不得再行订立背离合同实质性内容的其他协议。对任何因双方擅自变更合同引起的问题</w:t>
      </w:r>
      <w:r>
        <w:rPr>
          <w:rFonts w:hint="eastAsia" w:ascii="宋体" w:hAnsi="宋体"/>
          <w:sz w:val="24"/>
          <w:szCs w:val="22"/>
          <w:lang w:eastAsia="zh-CN"/>
        </w:rPr>
        <w:t>安徽国翠玉艺股份有限公司</w:t>
      </w:r>
      <w:r>
        <w:rPr>
          <w:rFonts w:hint="eastAsia" w:ascii="宋体" w:hAnsi="宋体"/>
          <w:sz w:val="24"/>
        </w:rPr>
        <w:t>概不负责，合同风险由双方自行承担。</w:t>
      </w:r>
    </w:p>
    <w:p>
      <w:pPr>
        <w:spacing w:line="360" w:lineRule="auto"/>
        <w:ind w:firstLine="523" w:firstLineChars="218"/>
        <w:rPr>
          <w:rFonts w:hint="eastAsia" w:ascii="宋体" w:hAnsi="宋体"/>
          <w:sz w:val="24"/>
        </w:rPr>
      </w:pPr>
      <w:r>
        <w:rPr>
          <w:rFonts w:hint="eastAsia" w:ascii="宋体" w:hAnsi="宋体"/>
          <w:sz w:val="24"/>
        </w:rPr>
        <w:t>29.3招标人保留以书面形式要求合同的卖方对其所投服务的方式、地点及服务细则等作适当调整的权利。</w:t>
      </w:r>
    </w:p>
    <w:p>
      <w:pPr>
        <w:spacing w:line="360" w:lineRule="auto"/>
        <w:ind w:firstLine="523" w:firstLineChars="218"/>
        <w:rPr>
          <w:rFonts w:hint="eastAsia" w:ascii="宋体" w:hAnsi="宋体"/>
          <w:bCs/>
          <w:sz w:val="24"/>
        </w:rPr>
      </w:pPr>
      <w:r>
        <w:rPr>
          <w:rFonts w:hint="eastAsia" w:ascii="宋体" w:hAnsi="宋体"/>
          <w:sz w:val="24"/>
        </w:rPr>
        <w:t>29.4</w:t>
      </w:r>
      <w:r>
        <w:rPr>
          <w:rFonts w:hint="eastAsia" w:ascii="宋体" w:hAnsi="宋体"/>
          <w:bCs/>
          <w:sz w:val="24"/>
        </w:rPr>
        <w:t>无论基于何种原因，各项本应作拒绝处理的情形即便未被及时发现而使该投标人进入初审、详细评审或其它后续程序，包括已经签约的情形，一旦在任何时间被发现，</w:t>
      </w:r>
      <w:r>
        <w:rPr>
          <w:rFonts w:hint="eastAsia" w:ascii="宋体" w:hAnsi="宋体"/>
          <w:sz w:val="24"/>
          <w:szCs w:val="22"/>
          <w:lang w:eastAsia="zh-CN"/>
        </w:rPr>
        <w:t>安徽国翠玉艺股份有限公司</w:t>
      </w:r>
      <w:r>
        <w:rPr>
          <w:rFonts w:hint="eastAsia" w:ascii="宋体" w:hAnsi="宋体"/>
          <w:bCs/>
          <w:sz w:val="24"/>
        </w:rPr>
        <w:t>公司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rPr>
      </w:pPr>
      <w:r>
        <w:rPr>
          <w:rFonts w:hint="eastAsia" w:ascii="宋体" w:hAnsi="宋体"/>
          <w:b/>
          <w:bCs/>
          <w:sz w:val="24"/>
        </w:rPr>
        <w:t>33</w:t>
      </w:r>
      <w:r>
        <w:rPr>
          <w:rFonts w:hint="eastAsia" w:ascii="宋体" w:hAnsi="宋体"/>
          <w:b/>
          <w:sz w:val="24"/>
        </w:rPr>
        <w:t>.</w:t>
      </w:r>
      <w:r>
        <w:rPr>
          <w:rFonts w:hint="eastAsia" w:ascii="宋体" w:hAnsi="宋体"/>
          <w:b/>
          <w:bCs/>
          <w:sz w:val="24"/>
        </w:rPr>
        <w:t>异议</w:t>
      </w:r>
    </w:p>
    <w:p>
      <w:pPr>
        <w:spacing w:line="360" w:lineRule="auto"/>
        <w:ind w:firstLine="523" w:firstLineChars="218"/>
        <w:rPr>
          <w:rFonts w:hint="eastAsia" w:ascii="宋体" w:hAnsi="宋体"/>
          <w:bCs/>
          <w:sz w:val="24"/>
        </w:rPr>
      </w:pPr>
      <w:r>
        <w:rPr>
          <w:rFonts w:hint="eastAsia" w:ascii="宋体" w:hAnsi="宋体"/>
          <w:bCs/>
          <w:sz w:val="24"/>
        </w:rPr>
        <w:t>33.1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w:t>
      </w:r>
      <w:r>
        <w:rPr>
          <w:rFonts w:hint="eastAsia" w:ascii="宋体" w:hAnsi="宋体"/>
          <w:sz w:val="24"/>
          <w:szCs w:val="22"/>
          <w:lang w:eastAsia="zh-CN"/>
        </w:rPr>
        <w:t>安徽国翠玉艺股份有限公司</w:t>
      </w:r>
      <w:r>
        <w:rPr>
          <w:rFonts w:hint="eastAsia" w:ascii="宋体" w:hAnsi="宋体"/>
          <w:bCs/>
          <w:sz w:val="24"/>
        </w:rPr>
        <w:t>提出异议，逾期不予受理。</w:t>
      </w:r>
    </w:p>
    <w:p>
      <w:pPr>
        <w:spacing w:line="360" w:lineRule="auto"/>
        <w:ind w:firstLine="523" w:firstLineChars="218"/>
        <w:rPr>
          <w:rFonts w:hint="eastAsia" w:ascii="宋体" w:hAnsi="宋体"/>
          <w:bCs/>
          <w:sz w:val="24"/>
        </w:rPr>
      </w:pPr>
      <w:r>
        <w:rPr>
          <w:rFonts w:hint="eastAsia" w:ascii="宋体" w:hAnsi="宋体"/>
          <w:bCs/>
          <w:sz w:val="24"/>
        </w:rPr>
        <w:t>33.2异议书内容应包括异议的详细理由和依据，并提供有关证明资料。</w:t>
      </w:r>
    </w:p>
    <w:p>
      <w:pPr>
        <w:spacing w:line="360" w:lineRule="auto"/>
        <w:ind w:firstLine="523" w:firstLineChars="218"/>
        <w:rPr>
          <w:rFonts w:hint="eastAsia" w:ascii="宋体" w:hAnsi="宋体"/>
          <w:bCs/>
          <w:sz w:val="24"/>
        </w:rPr>
      </w:pPr>
      <w:r>
        <w:rPr>
          <w:rFonts w:hint="eastAsia" w:ascii="宋体" w:hAnsi="宋体"/>
          <w:bCs/>
          <w:sz w:val="24"/>
        </w:rPr>
        <w:t>33.3 有以下情形之一的，视为无效异议：</w:t>
      </w:r>
    </w:p>
    <w:p>
      <w:pPr>
        <w:spacing w:line="360" w:lineRule="auto"/>
        <w:ind w:firstLine="523" w:firstLineChars="218"/>
        <w:rPr>
          <w:rFonts w:hint="eastAsia" w:ascii="宋体" w:hAnsi="宋体"/>
          <w:bCs/>
          <w:sz w:val="24"/>
        </w:rPr>
      </w:pPr>
      <w:r>
        <w:rPr>
          <w:rFonts w:hint="eastAsia" w:ascii="宋体" w:hAnsi="宋体"/>
          <w:bCs/>
          <w:sz w:val="24"/>
        </w:rPr>
        <w:t>33.3.1 未按规定时间或规定手续提交异议的；</w:t>
      </w:r>
    </w:p>
    <w:p>
      <w:pPr>
        <w:spacing w:line="360" w:lineRule="auto"/>
        <w:ind w:firstLine="523" w:firstLineChars="218"/>
        <w:rPr>
          <w:rFonts w:hint="eastAsia" w:ascii="宋体" w:hAnsi="宋体"/>
          <w:bCs/>
          <w:sz w:val="24"/>
        </w:rPr>
      </w:pPr>
      <w:r>
        <w:rPr>
          <w:rFonts w:hint="eastAsia" w:ascii="宋体" w:hAnsi="宋体"/>
          <w:bCs/>
          <w:sz w:val="24"/>
        </w:rPr>
        <w:t>33.3.2 异议内容含糊不清、没有提供详细理由和依据，无法进行核查的；</w:t>
      </w:r>
    </w:p>
    <w:p>
      <w:pPr>
        <w:spacing w:line="360" w:lineRule="auto"/>
        <w:ind w:firstLine="523" w:firstLineChars="218"/>
        <w:rPr>
          <w:rFonts w:hint="eastAsia" w:ascii="宋体" w:hAnsi="宋体"/>
          <w:bCs/>
          <w:sz w:val="24"/>
        </w:rPr>
      </w:pPr>
      <w:r>
        <w:rPr>
          <w:rFonts w:hint="eastAsia" w:ascii="宋体" w:hAnsi="宋体"/>
          <w:bCs/>
          <w:sz w:val="24"/>
        </w:rPr>
        <w:t>33.3.3 其他不符合异议程序和有关规定的。</w:t>
      </w:r>
    </w:p>
    <w:p>
      <w:pPr>
        <w:spacing w:line="360" w:lineRule="auto"/>
        <w:ind w:firstLine="523" w:firstLineChars="218"/>
        <w:rPr>
          <w:rFonts w:hint="eastAsia" w:ascii="宋体" w:hAnsi="宋体"/>
          <w:bCs/>
          <w:sz w:val="24"/>
        </w:rPr>
      </w:pPr>
      <w:r>
        <w:rPr>
          <w:rFonts w:hint="eastAsia" w:ascii="宋体" w:hAnsi="宋体"/>
          <w:bCs/>
          <w:sz w:val="24"/>
        </w:rPr>
        <w:t>被判定无效异议的，</w:t>
      </w:r>
      <w:r>
        <w:rPr>
          <w:rFonts w:hint="eastAsia" w:ascii="宋体" w:hAnsi="宋体"/>
          <w:sz w:val="24"/>
          <w:szCs w:val="22"/>
          <w:lang w:eastAsia="zh-CN"/>
        </w:rPr>
        <w:t>安徽国翠玉艺股份有限公司</w:t>
      </w:r>
      <w:r>
        <w:rPr>
          <w:rFonts w:hint="eastAsia" w:ascii="宋体" w:hAnsi="宋体"/>
          <w:bCs/>
          <w:sz w:val="24"/>
        </w:rPr>
        <w:t>将书面回复投标单位其异议无效的理由，并记录无效异议一次。</w:t>
      </w:r>
    </w:p>
    <w:p>
      <w:pPr>
        <w:spacing w:line="360" w:lineRule="auto"/>
        <w:ind w:firstLine="523" w:firstLineChars="218"/>
        <w:rPr>
          <w:rFonts w:hint="eastAsia" w:ascii="宋体" w:hAnsi="宋体"/>
          <w:bCs/>
          <w:sz w:val="24"/>
        </w:rPr>
      </w:pPr>
      <w:r>
        <w:rPr>
          <w:rFonts w:hint="eastAsia" w:ascii="宋体" w:hAnsi="宋体"/>
          <w:bCs/>
          <w:sz w:val="24"/>
        </w:rPr>
        <w:t>33.4</w:t>
      </w:r>
      <w:r>
        <w:rPr>
          <w:rFonts w:hint="eastAsia" w:ascii="宋体" w:hAnsi="宋体"/>
          <w:sz w:val="24"/>
          <w:szCs w:val="22"/>
          <w:lang w:eastAsia="zh-CN"/>
        </w:rPr>
        <w:t>安徽国翠玉艺股份有限公司</w:t>
      </w:r>
      <w:r>
        <w:rPr>
          <w:rFonts w:hint="eastAsia" w:ascii="宋体" w:hAnsi="宋体"/>
          <w:bCs/>
          <w:sz w:val="24"/>
        </w:rPr>
        <w:t>将在受到书面质疑后3个工作日内审查异议事项，作出答复或相关处理决定，并以书面形式通知异议人，但答复的内容不涉及商业秘密。</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34.1按《中华人民共和国招标投标法》及其他有关法律法规的规定执行。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
          <w:sz w:val="24"/>
          <w:szCs w:val="24"/>
          <w:lang w:eastAsia="zh-CN"/>
        </w:rPr>
      </w:pPr>
      <w:r>
        <w:rPr>
          <w:rFonts w:hint="eastAsia" w:ascii="宋体" w:hAnsi="宋体"/>
          <w:bCs/>
          <w:sz w:val="24"/>
        </w:rPr>
        <w:t>35.1本招标文件的解释权属于</w:t>
      </w:r>
      <w:r>
        <w:rPr>
          <w:rFonts w:hint="eastAsia" w:ascii="宋体" w:hAnsi="宋体"/>
          <w:sz w:val="24"/>
          <w:szCs w:val="22"/>
          <w:lang w:eastAsia="zh-CN"/>
        </w:rPr>
        <w:t>安徽国翠玉艺股份有限公司</w:t>
      </w:r>
    </w:p>
    <w:sectPr>
      <w:headerReference r:id="rId7" w:type="first"/>
      <w:footerReference r:id="rId9" w:type="first"/>
      <w:headerReference r:id="rId6" w:type="default"/>
      <w:footerReference r:id="rId8" w:type="default"/>
      <w:pgSz w:w="11907" w:h="16840"/>
      <w:pgMar w:top="1440" w:right="1106" w:bottom="936"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hint="eastAsia"/>
      </w:rPr>
    </w:pPr>
  </w:p>
  <w:p>
    <w:pPr>
      <w:pStyle w:val="32"/>
      <w:pBdr>
        <w:bottom w:val="none" w:color="auto" w:sz="0" w:space="1"/>
      </w:pBdr>
      <w:jc w:val="right"/>
      <w:rPr>
        <w:rFonts w:hint="eastAsia"/>
      </w:rPr>
    </w:pPr>
    <w:r>
      <w:rPr>
        <w:rFonts w:hint="eastAsia"/>
        <w:lang w:eastAsia="zh-CN"/>
      </w:rPr>
      <w:t xml:space="preserve"> 桐城玉雕文化产业园</w:t>
    </w:r>
    <w:r>
      <w:rPr>
        <w:rFonts w:hint="eastAsia"/>
      </w:rPr>
      <w:t>前期物业管理招标文件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7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31D9D534"/>
    <w:multiLevelType w:val="singleLevel"/>
    <w:tmpl w:val="31D9D534"/>
    <w:lvl w:ilvl="0" w:tentative="0">
      <w:start w:val="3"/>
      <w:numFmt w:val="decimal"/>
      <w:suff w:val="nothing"/>
      <w:lvlText w:val="%1、"/>
      <w:lvlJc w:val="left"/>
    </w:lvl>
  </w:abstractNum>
  <w:abstractNum w:abstractNumId="3">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6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YTQzNGE2ZDBmODM2YWUyMTZlMTdjY2ZmYWNkZWUifQ=="/>
  </w:docVars>
  <w:rsids>
    <w:rsidRoot w:val="00E242DC"/>
    <w:rsid w:val="000061C4"/>
    <w:rsid w:val="00011CC8"/>
    <w:rsid w:val="000127BA"/>
    <w:rsid w:val="00017ADB"/>
    <w:rsid w:val="000215D5"/>
    <w:rsid w:val="00021EFD"/>
    <w:rsid w:val="0002219A"/>
    <w:rsid w:val="00022306"/>
    <w:rsid w:val="0002297A"/>
    <w:rsid w:val="000236D2"/>
    <w:rsid w:val="000241BC"/>
    <w:rsid w:val="00025954"/>
    <w:rsid w:val="00026F05"/>
    <w:rsid w:val="00031908"/>
    <w:rsid w:val="0003222E"/>
    <w:rsid w:val="00033ECD"/>
    <w:rsid w:val="0003465C"/>
    <w:rsid w:val="00040265"/>
    <w:rsid w:val="000403F2"/>
    <w:rsid w:val="00042362"/>
    <w:rsid w:val="000474F7"/>
    <w:rsid w:val="00053159"/>
    <w:rsid w:val="000535D3"/>
    <w:rsid w:val="00054E9E"/>
    <w:rsid w:val="000559E2"/>
    <w:rsid w:val="000608A8"/>
    <w:rsid w:val="00060938"/>
    <w:rsid w:val="00062D59"/>
    <w:rsid w:val="00064A5A"/>
    <w:rsid w:val="0006548F"/>
    <w:rsid w:val="00067E5C"/>
    <w:rsid w:val="00070C8D"/>
    <w:rsid w:val="00072122"/>
    <w:rsid w:val="00072459"/>
    <w:rsid w:val="00076662"/>
    <w:rsid w:val="00076FCE"/>
    <w:rsid w:val="00077D2C"/>
    <w:rsid w:val="000858F3"/>
    <w:rsid w:val="00086C13"/>
    <w:rsid w:val="00086ECF"/>
    <w:rsid w:val="00091871"/>
    <w:rsid w:val="000926D6"/>
    <w:rsid w:val="00094287"/>
    <w:rsid w:val="00094ABB"/>
    <w:rsid w:val="00095DD5"/>
    <w:rsid w:val="00096A8A"/>
    <w:rsid w:val="000A0DD3"/>
    <w:rsid w:val="000A1BD8"/>
    <w:rsid w:val="000A31BC"/>
    <w:rsid w:val="000A46EF"/>
    <w:rsid w:val="000A79D1"/>
    <w:rsid w:val="000B1D57"/>
    <w:rsid w:val="000B7122"/>
    <w:rsid w:val="000C0ADB"/>
    <w:rsid w:val="000C0DB4"/>
    <w:rsid w:val="000C2F04"/>
    <w:rsid w:val="000C412E"/>
    <w:rsid w:val="000C4CBF"/>
    <w:rsid w:val="000D1112"/>
    <w:rsid w:val="000D1F66"/>
    <w:rsid w:val="000D221F"/>
    <w:rsid w:val="000D2273"/>
    <w:rsid w:val="000D6D18"/>
    <w:rsid w:val="000D7DD9"/>
    <w:rsid w:val="000E0416"/>
    <w:rsid w:val="000E23E6"/>
    <w:rsid w:val="000E3034"/>
    <w:rsid w:val="000E35DB"/>
    <w:rsid w:val="000E3903"/>
    <w:rsid w:val="000E74EB"/>
    <w:rsid w:val="000F1AB0"/>
    <w:rsid w:val="000F1D29"/>
    <w:rsid w:val="000F2F86"/>
    <w:rsid w:val="000F37A3"/>
    <w:rsid w:val="000F4AAD"/>
    <w:rsid w:val="000F4D24"/>
    <w:rsid w:val="000F5679"/>
    <w:rsid w:val="000F6B32"/>
    <w:rsid w:val="0010296E"/>
    <w:rsid w:val="001036AB"/>
    <w:rsid w:val="001045F8"/>
    <w:rsid w:val="00104874"/>
    <w:rsid w:val="0010525C"/>
    <w:rsid w:val="0010568B"/>
    <w:rsid w:val="001062E2"/>
    <w:rsid w:val="00112A1D"/>
    <w:rsid w:val="00114016"/>
    <w:rsid w:val="001148D9"/>
    <w:rsid w:val="001168F8"/>
    <w:rsid w:val="00122663"/>
    <w:rsid w:val="001257C4"/>
    <w:rsid w:val="00127806"/>
    <w:rsid w:val="001315F2"/>
    <w:rsid w:val="00131A53"/>
    <w:rsid w:val="00131E6D"/>
    <w:rsid w:val="0013667D"/>
    <w:rsid w:val="001371DF"/>
    <w:rsid w:val="00137AB5"/>
    <w:rsid w:val="00140412"/>
    <w:rsid w:val="0014088E"/>
    <w:rsid w:val="00141EDF"/>
    <w:rsid w:val="0014219B"/>
    <w:rsid w:val="001429DC"/>
    <w:rsid w:val="001449F0"/>
    <w:rsid w:val="00145652"/>
    <w:rsid w:val="00145E0D"/>
    <w:rsid w:val="00146E49"/>
    <w:rsid w:val="00147C02"/>
    <w:rsid w:val="00150374"/>
    <w:rsid w:val="00150AF3"/>
    <w:rsid w:val="00152959"/>
    <w:rsid w:val="00152E9C"/>
    <w:rsid w:val="001551D9"/>
    <w:rsid w:val="00155B26"/>
    <w:rsid w:val="00155B5E"/>
    <w:rsid w:val="00160720"/>
    <w:rsid w:val="00160DFC"/>
    <w:rsid w:val="00161CA1"/>
    <w:rsid w:val="00162198"/>
    <w:rsid w:val="00166E41"/>
    <w:rsid w:val="00167E82"/>
    <w:rsid w:val="001757D1"/>
    <w:rsid w:val="001759A4"/>
    <w:rsid w:val="00176EDA"/>
    <w:rsid w:val="00180FD6"/>
    <w:rsid w:val="00181846"/>
    <w:rsid w:val="00184150"/>
    <w:rsid w:val="00184886"/>
    <w:rsid w:val="001870DE"/>
    <w:rsid w:val="0018748C"/>
    <w:rsid w:val="00187B90"/>
    <w:rsid w:val="00187DB9"/>
    <w:rsid w:val="001903F1"/>
    <w:rsid w:val="00190845"/>
    <w:rsid w:val="00192664"/>
    <w:rsid w:val="00196085"/>
    <w:rsid w:val="001967D1"/>
    <w:rsid w:val="00196C35"/>
    <w:rsid w:val="00197001"/>
    <w:rsid w:val="00197922"/>
    <w:rsid w:val="00197953"/>
    <w:rsid w:val="001A3194"/>
    <w:rsid w:val="001A4509"/>
    <w:rsid w:val="001A6D40"/>
    <w:rsid w:val="001B0335"/>
    <w:rsid w:val="001B1E84"/>
    <w:rsid w:val="001B22B5"/>
    <w:rsid w:val="001B2AF8"/>
    <w:rsid w:val="001B40A9"/>
    <w:rsid w:val="001B441D"/>
    <w:rsid w:val="001B491D"/>
    <w:rsid w:val="001B74E3"/>
    <w:rsid w:val="001B78C7"/>
    <w:rsid w:val="001C048B"/>
    <w:rsid w:val="001C0DD2"/>
    <w:rsid w:val="001C0EF0"/>
    <w:rsid w:val="001C269F"/>
    <w:rsid w:val="001C2833"/>
    <w:rsid w:val="001C2BC4"/>
    <w:rsid w:val="001C2C72"/>
    <w:rsid w:val="001C3EDA"/>
    <w:rsid w:val="001C4980"/>
    <w:rsid w:val="001C57ED"/>
    <w:rsid w:val="001C5F31"/>
    <w:rsid w:val="001C5F8D"/>
    <w:rsid w:val="001C6370"/>
    <w:rsid w:val="001C6550"/>
    <w:rsid w:val="001C66A0"/>
    <w:rsid w:val="001D0B82"/>
    <w:rsid w:val="001D1543"/>
    <w:rsid w:val="001D19B0"/>
    <w:rsid w:val="001D4E13"/>
    <w:rsid w:val="001D6E6B"/>
    <w:rsid w:val="001E115E"/>
    <w:rsid w:val="001E1461"/>
    <w:rsid w:val="001E16D3"/>
    <w:rsid w:val="001E3E8F"/>
    <w:rsid w:val="001E458C"/>
    <w:rsid w:val="001E5713"/>
    <w:rsid w:val="001E6251"/>
    <w:rsid w:val="001E7C86"/>
    <w:rsid w:val="001F232A"/>
    <w:rsid w:val="001F2D9A"/>
    <w:rsid w:val="001F3343"/>
    <w:rsid w:val="001F3708"/>
    <w:rsid w:val="001F40E6"/>
    <w:rsid w:val="001F487F"/>
    <w:rsid w:val="00200B44"/>
    <w:rsid w:val="00201C0D"/>
    <w:rsid w:val="00201F55"/>
    <w:rsid w:val="00202E3D"/>
    <w:rsid w:val="0020351F"/>
    <w:rsid w:val="0020362D"/>
    <w:rsid w:val="00204657"/>
    <w:rsid w:val="00205312"/>
    <w:rsid w:val="00205827"/>
    <w:rsid w:val="00206B12"/>
    <w:rsid w:val="00207372"/>
    <w:rsid w:val="002111D2"/>
    <w:rsid w:val="002113AD"/>
    <w:rsid w:val="002165B3"/>
    <w:rsid w:val="00217197"/>
    <w:rsid w:val="002179A3"/>
    <w:rsid w:val="00217D99"/>
    <w:rsid w:val="00222BB5"/>
    <w:rsid w:val="00222C2C"/>
    <w:rsid w:val="002233B7"/>
    <w:rsid w:val="00223573"/>
    <w:rsid w:val="002235D0"/>
    <w:rsid w:val="00223B08"/>
    <w:rsid w:val="0022640F"/>
    <w:rsid w:val="00230810"/>
    <w:rsid w:val="0023242A"/>
    <w:rsid w:val="00233933"/>
    <w:rsid w:val="00235D3C"/>
    <w:rsid w:val="00236EE5"/>
    <w:rsid w:val="00241960"/>
    <w:rsid w:val="002429D3"/>
    <w:rsid w:val="00244162"/>
    <w:rsid w:val="00244E58"/>
    <w:rsid w:val="0024509A"/>
    <w:rsid w:val="0024560C"/>
    <w:rsid w:val="00245CA2"/>
    <w:rsid w:val="00245E72"/>
    <w:rsid w:val="00250C5C"/>
    <w:rsid w:val="00251592"/>
    <w:rsid w:val="00252BF0"/>
    <w:rsid w:val="0025565B"/>
    <w:rsid w:val="00256458"/>
    <w:rsid w:val="00256D6A"/>
    <w:rsid w:val="002571C5"/>
    <w:rsid w:val="00260473"/>
    <w:rsid w:val="00260872"/>
    <w:rsid w:val="00261256"/>
    <w:rsid w:val="00261500"/>
    <w:rsid w:val="00263E99"/>
    <w:rsid w:val="00265AB0"/>
    <w:rsid w:val="002664F8"/>
    <w:rsid w:val="00267317"/>
    <w:rsid w:val="00271827"/>
    <w:rsid w:val="002752BD"/>
    <w:rsid w:val="00275749"/>
    <w:rsid w:val="00276119"/>
    <w:rsid w:val="00276D5B"/>
    <w:rsid w:val="002774E8"/>
    <w:rsid w:val="00277973"/>
    <w:rsid w:val="00277F4E"/>
    <w:rsid w:val="00280259"/>
    <w:rsid w:val="00287400"/>
    <w:rsid w:val="00287F0C"/>
    <w:rsid w:val="002968E1"/>
    <w:rsid w:val="00296BEB"/>
    <w:rsid w:val="002A0302"/>
    <w:rsid w:val="002A3B0B"/>
    <w:rsid w:val="002B12E5"/>
    <w:rsid w:val="002B4DED"/>
    <w:rsid w:val="002B58B6"/>
    <w:rsid w:val="002B58BA"/>
    <w:rsid w:val="002B5F94"/>
    <w:rsid w:val="002B6C00"/>
    <w:rsid w:val="002B6D78"/>
    <w:rsid w:val="002D2859"/>
    <w:rsid w:val="002D322D"/>
    <w:rsid w:val="002D3405"/>
    <w:rsid w:val="002D3833"/>
    <w:rsid w:val="002D4332"/>
    <w:rsid w:val="002D43E5"/>
    <w:rsid w:val="002D56F4"/>
    <w:rsid w:val="002D5945"/>
    <w:rsid w:val="002D5A6C"/>
    <w:rsid w:val="002D7B4D"/>
    <w:rsid w:val="002E0DCA"/>
    <w:rsid w:val="002E188B"/>
    <w:rsid w:val="002E6038"/>
    <w:rsid w:val="002E6083"/>
    <w:rsid w:val="002E76B2"/>
    <w:rsid w:val="002F0AC6"/>
    <w:rsid w:val="002F0D8F"/>
    <w:rsid w:val="002F11F6"/>
    <w:rsid w:val="002F4FE0"/>
    <w:rsid w:val="002F539E"/>
    <w:rsid w:val="002F550A"/>
    <w:rsid w:val="002F5F1E"/>
    <w:rsid w:val="002F60A2"/>
    <w:rsid w:val="00300B41"/>
    <w:rsid w:val="00300BD9"/>
    <w:rsid w:val="00301077"/>
    <w:rsid w:val="00301268"/>
    <w:rsid w:val="003024BE"/>
    <w:rsid w:val="00303E8B"/>
    <w:rsid w:val="00304F34"/>
    <w:rsid w:val="0030519A"/>
    <w:rsid w:val="00305932"/>
    <w:rsid w:val="00311A2A"/>
    <w:rsid w:val="00312489"/>
    <w:rsid w:val="00312C4A"/>
    <w:rsid w:val="00313875"/>
    <w:rsid w:val="003153FE"/>
    <w:rsid w:val="003166EB"/>
    <w:rsid w:val="00317B7D"/>
    <w:rsid w:val="00320E48"/>
    <w:rsid w:val="00320F6A"/>
    <w:rsid w:val="003213BE"/>
    <w:rsid w:val="00321527"/>
    <w:rsid w:val="0032157E"/>
    <w:rsid w:val="003218AD"/>
    <w:rsid w:val="003230B0"/>
    <w:rsid w:val="00323B4D"/>
    <w:rsid w:val="003241BE"/>
    <w:rsid w:val="00327893"/>
    <w:rsid w:val="00332662"/>
    <w:rsid w:val="00335F4D"/>
    <w:rsid w:val="00336C13"/>
    <w:rsid w:val="00337B42"/>
    <w:rsid w:val="00341139"/>
    <w:rsid w:val="00341B94"/>
    <w:rsid w:val="0034243A"/>
    <w:rsid w:val="003428A2"/>
    <w:rsid w:val="0034324D"/>
    <w:rsid w:val="00343E49"/>
    <w:rsid w:val="00344DB0"/>
    <w:rsid w:val="00347665"/>
    <w:rsid w:val="00351979"/>
    <w:rsid w:val="003530C6"/>
    <w:rsid w:val="00353B51"/>
    <w:rsid w:val="00354ED0"/>
    <w:rsid w:val="00355352"/>
    <w:rsid w:val="00355931"/>
    <w:rsid w:val="00357483"/>
    <w:rsid w:val="00362A3B"/>
    <w:rsid w:val="00363115"/>
    <w:rsid w:val="00363A59"/>
    <w:rsid w:val="00363AC5"/>
    <w:rsid w:val="00365904"/>
    <w:rsid w:val="00366C3F"/>
    <w:rsid w:val="0036774F"/>
    <w:rsid w:val="00370E62"/>
    <w:rsid w:val="00372B0F"/>
    <w:rsid w:val="00376998"/>
    <w:rsid w:val="0037704D"/>
    <w:rsid w:val="00380B3F"/>
    <w:rsid w:val="00382655"/>
    <w:rsid w:val="003834D1"/>
    <w:rsid w:val="00383C28"/>
    <w:rsid w:val="0038479E"/>
    <w:rsid w:val="00385404"/>
    <w:rsid w:val="0039021F"/>
    <w:rsid w:val="00391FAB"/>
    <w:rsid w:val="003927A3"/>
    <w:rsid w:val="00392E86"/>
    <w:rsid w:val="00393D13"/>
    <w:rsid w:val="0039583D"/>
    <w:rsid w:val="00397133"/>
    <w:rsid w:val="0039776A"/>
    <w:rsid w:val="003A069D"/>
    <w:rsid w:val="003A0B85"/>
    <w:rsid w:val="003A0E73"/>
    <w:rsid w:val="003A20C1"/>
    <w:rsid w:val="003A2648"/>
    <w:rsid w:val="003A4785"/>
    <w:rsid w:val="003A4ABE"/>
    <w:rsid w:val="003A504F"/>
    <w:rsid w:val="003A5F94"/>
    <w:rsid w:val="003A6F5B"/>
    <w:rsid w:val="003A7D98"/>
    <w:rsid w:val="003B021E"/>
    <w:rsid w:val="003B1839"/>
    <w:rsid w:val="003B3419"/>
    <w:rsid w:val="003B6A70"/>
    <w:rsid w:val="003C1836"/>
    <w:rsid w:val="003C3610"/>
    <w:rsid w:val="003C3BF4"/>
    <w:rsid w:val="003C3C21"/>
    <w:rsid w:val="003C4E41"/>
    <w:rsid w:val="003C7EBD"/>
    <w:rsid w:val="003D1F70"/>
    <w:rsid w:val="003D20EC"/>
    <w:rsid w:val="003D3936"/>
    <w:rsid w:val="003D3C46"/>
    <w:rsid w:val="003D5071"/>
    <w:rsid w:val="003D668E"/>
    <w:rsid w:val="003E095B"/>
    <w:rsid w:val="003E248D"/>
    <w:rsid w:val="003E48A9"/>
    <w:rsid w:val="003E5E95"/>
    <w:rsid w:val="003E5EC0"/>
    <w:rsid w:val="003E785C"/>
    <w:rsid w:val="003F1800"/>
    <w:rsid w:val="003F4834"/>
    <w:rsid w:val="003F5553"/>
    <w:rsid w:val="003F5D2C"/>
    <w:rsid w:val="003F678D"/>
    <w:rsid w:val="003F6891"/>
    <w:rsid w:val="003F7E2B"/>
    <w:rsid w:val="00400550"/>
    <w:rsid w:val="004008E9"/>
    <w:rsid w:val="00400E35"/>
    <w:rsid w:val="0040163F"/>
    <w:rsid w:val="004033A5"/>
    <w:rsid w:val="00411791"/>
    <w:rsid w:val="004130B1"/>
    <w:rsid w:val="004130F0"/>
    <w:rsid w:val="00415A36"/>
    <w:rsid w:val="004170BB"/>
    <w:rsid w:val="00420A50"/>
    <w:rsid w:val="00420CDE"/>
    <w:rsid w:val="004234DD"/>
    <w:rsid w:val="0042368E"/>
    <w:rsid w:val="00423EBC"/>
    <w:rsid w:val="004249F0"/>
    <w:rsid w:val="00424A4F"/>
    <w:rsid w:val="00425780"/>
    <w:rsid w:val="004269B5"/>
    <w:rsid w:val="004303ED"/>
    <w:rsid w:val="00430CE9"/>
    <w:rsid w:val="00431B1D"/>
    <w:rsid w:val="00437DB6"/>
    <w:rsid w:val="00440B5F"/>
    <w:rsid w:val="00441A09"/>
    <w:rsid w:val="004422AF"/>
    <w:rsid w:val="004425B6"/>
    <w:rsid w:val="00443F39"/>
    <w:rsid w:val="00444A27"/>
    <w:rsid w:val="004452DA"/>
    <w:rsid w:val="004460E9"/>
    <w:rsid w:val="00446D8E"/>
    <w:rsid w:val="00450658"/>
    <w:rsid w:val="0045188E"/>
    <w:rsid w:val="00452CBC"/>
    <w:rsid w:val="0045325C"/>
    <w:rsid w:val="004539D1"/>
    <w:rsid w:val="00453F8F"/>
    <w:rsid w:val="0045558E"/>
    <w:rsid w:val="00457EB3"/>
    <w:rsid w:val="004600AC"/>
    <w:rsid w:val="00461B6C"/>
    <w:rsid w:val="00462F5E"/>
    <w:rsid w:val="0046331D"/>
    <w:rsid w:val="00470637"/>
    <w:rsid w:val="00470719"/>
    <w:rsid w:val="00471CE5"/>
    <w:rsid w:val="00474739"/>
    <w:rsid w:val="00476146"/>
    <w:rsid w:val="00477E21"/>
    <w:rsid w:val="004801BA"/>
    <w:rsid w:val="004810A5"/>
    <w:rsid w:val="004833CC"/>
    <w:rsid w:val="00484363"/>
    <w:rsid w:val="00484E34"/>
    <w:rsid w:val="00485BD7"/>
    <w:rsid w:val="00485F16"/>
    <w:rsid w:val="00487185"/>
    <w:rsid w:val="004875AB"/>
    <w:rsid w:val="00487AA9"/>
    <w:rsid w:val="00491FF3"/>
    <w:rsid w:val="00492021"/>
    <w:rsid w:val="0049273C"/>
    <w:rsid w:val="00494695"/>
    <w:rsid w:val="00494871"/>
    <w:rsid w:val="00495296"/>
    <w:rsid w:val="00496B57"/>
    <w:rsid w:val="004A0498"/>
    <w:rsid w:val="004A08FC"/>
    <w:rsid w:val="004A1C0E"/>
    <w:rsid w:val="004A1F38"/>
    <w:rsid w:val="004A224C"/>
    <w:rsid w:val="004A3D86"/>
    <w:rsid w:val="004A4C78"/>
    <w:rsid w:val="004A7E61"/>
    <w:rsid w:val="004A7E6E"/>
    <w:rsid w:val="004B4A45"/>
    <w:rsid w:val="004B5F17"/>
    <w:rsid w:val="004B73BD"/>
    <w:rsid w:val="004B794F"/>
    <w:rsid w:val="004C1BC8"/>
    <w:rsid w:val="004C2759"/>
    <w:rsid w:val="004C359E"/>
    <w:rsid w:val="004C626D"/>
    <w:rsid w:val="004C631E"/>
    <w:rsid w:val="004C79A5"/>
    <w:rsid w:val="004D01FB"/>
    <w:rsid w:val="004D0479"/>
    <w:rsid w:val="004D39D2"/>
    <w:rsid w:val="004D6A04"/>
    <w:rsid w:val="004D789B"/>
    <w:rsid w:val="004D7B9C"/>
    <w:rsid w:val="004E1F5C"/>
    <w:rsid w:val="004E5C51"/>
    <w:rsid w:val="004E5DBC"/>
    <w:rsid w:val="004E6795"/>
    <w:rsid w:val="004F06E0"/>
    <w:rsid w:val="004F13DF"/>
    <w:rsid w:val="004F2A7E"/>
    <w:rsid w:val="004F2C55"/>
    <w:rsid w:val="004F3808"/>
    <w:rsid w:val="004F6744"/>
    <w:rsid w:val="004F6F55"/>
    <w:rsid w:val="00501265"/>
    <w:rsid w:val="00502B9C"/>
    <w:rsid w:val="0050301D"/>
    <w:rsid w:val="0050583D"/>
    <w:rsid w:val="00507BBD"/>
    <w:rsid w:val="0051001F"/>
    <w:rsid w:val="00510966"/>
    <w:rsid w:val="00510E75"/>
    <w:rsid w:val="00511598"/>
    <w:rsid w:val="00512A4D"/>
    <w:rsid w:val="00514DD2"/>
    <w:rsid w:val="00515B5D"/>
    <w:rsid w:val="005204CD"/>
    <w:rsid w:val="00520766"/>
    <w:rsid w:val="00523AAA"/>
    <w:rsid w:val="0052755D"/>
    <w:rsid w:val="00530043"/>
    <w:rsid w:val="0053019F"/>
    <w:rsid w:val="00530338"/>
    <w:rsid w:val="005310D0"/>
    <w:rsid w:val="005336B1"/>
    <w:rsid w:val="00535BED"/>
    <w:rsid w:val="00540C13"/>
    <w:rsid w:val="00543661"/>
    <w:rsid w:val="0054411B"/>
    <w:rsid w:val="005457AE"/>
    <w:rsid w:val="005533F9"/>
    <w:rsid w:val="00555483"/>
    <w:rsid w:val="005567EC"/>
    <w:rsid w:val="00557213"/>
    <w:rsid w:val="0055731F"/>
    <w:rsid w:val="00560AEA"/>
    <w:rsid w:val="00560F89"/>
    <w:rsid w:val="00561D9E"/>
    <w:rsid w:val="00565DB2"/>
    <w:rsid w:val="00566720"/>
    <w:rsid w:val="00567B8C"/>
    <w:rsid w:val="00570114"/>
    <w:rsid w:val="0057111C"/>
    <w:rsid w:val="00572FEB"/>
    <w:rsid w:val="00575B75"/>
    <w:rsid w:val="00580E6A"/>
    <w:rsid w:val="00580EE1"/>
    <w:rsid w:val="005826D5"/>
    <w:rsid w:val="005838C0"/>
    <w:rsid w:val="005849FB"/>
    <w:rsid w:val="005851E6"/>
    <w:rsid w:val="00585BF2"/>
    <w:rsid w:val="00586D98"/>
    <w:rsid w:val="00590D61"/>
    <w:rsid w:val="005925BE"/>
    <w:rsid w:val="005930F1"/>
    <w:rsid w:val="0059379B"/>
    <w:rsid w:val="00596B37"/>
    <w:rsid w:val="005972D5"/>
    <w:rsid w:val="0059758A"/>
    <w:rsid w:val="00597964"/>
    <w:rsid w:val="005A05CF"/>
    <w:rsid w:val="005A1CA0"/>
    <w:rsid w:val="005A2742"/>
    <w:rsid w:val="005A2BE3"/>
    <w:rsid w:val="005A3A54"/>
    <w:rsid w:val="005A424E"/>
    <w:rsid w:val="005A5EEE"/>
    <w:rsid w:val="005A6C7D"/>
    <w:rsid w:val="005B251E"/>
    <w:rsid w:val="005B33B5"/>
    <w:rsid w:val="005B3C13"/>
    <w:rsid w:val="005B45F4"/>
    <w:rsid w:val="005B479D"/>
    <w:rsid w:val="005B4B38"/>
    <w:rsid w:val="005B4F0B"/>
    <w:rsid w:val="005B5809"/>
    <w:rsid w:val="005B59D9"/>
    <w:rsid w:val="005C65E5"/>
    <w:rsid w:val="005C6E9D"/>
    <w:rsid w:val="005D13B3"/>
    <w:rsid w:val="005D23FF"/>
    <w:rsid w:val="005D2DE6"/>
    <w:rsid w:val="005D3201"/>
    <w:rsid w:val="005D4900"/>
    <w:rsid w:val="005D4FCE"/>
    <w:rsid w:val="005D5627"/>
    <w:rsid w:val="005E22D4"/>
    <w:rsid w:val="005E23CC"/>
    <w:rsid w:val="005E31E4"/>
    <w:rsid w:val="005E3865"/>
    <w:rsid w:val="005E5707"/>
    <w:rsid w:val="005E5D6D"/>
    <w:rsid w:val="005E61DD"/>
    <w:rsid w:val="005F1812"/>
    <w:rsid w:val="005F2134"/>
    <w:rsid w:val="005F2716"/>
    <w:rsid w:val="005F42AA"/>
    <w:rsid w:val="005F76B0"/>
    <w:rsid w:val="005F7D86"/>
    <w:rsid w:val="006022C7"/>
    <w:rsid w:val="00603D62"/>
    <w:rsid w:val="00604521"/>
    <w:rsid w:val="006066A0"/>
    <w:rsid w:val="0061197B"/>
    <w:rsid w:val="00612612"/>
    <w:rsid w:val="006131A8"/>
    <w:rsid w:val="00613F5E"/>
    <w:rsid w:val="00615DC4"/>
    <w:rsid w:val="00616317"/>
    <w:rsid w:val="00617A57"/>
    <w:rsid w:val="00620767"/>
    <w:rsid w:val="00620AA9"/>
    <w:rsid w:val="0062496C"/>
    <w:rsid w:val="00625F06"/>
    <w:rsid w:val="00625FBB"/>
    <w:rsid w:val="00627827"/>
    <w:rsid w:val="00630B12"/>
    <w:rsid w:val="006328C4"/>
    <w:rsid w:val="00632C3D"/>
    <w:rsid w:val="0063472A"/>
    <w:rsid w:val="00634C3E"/>
    <w:rsid w:val="006361BA"/>
    <w:rsid w:val="0064301F"/>
    <w:rsid w:val="00643ED8"/>
    <w:rsid w:val="00643F48"/>
    <w:rsid w:val="0064483C"/>
    <w:rsid w:val="00644F13"/>
    <w:rsid w:val="00645E50"/>
    <w:rsid w:val="00645FE5"/>
    <w:rsid w:val="00646117"/>
    <w:rsid w:val="0064643C"/>
    <w:rsid w:val="00646BF2"/>
    <w:rsid w:val="00650747"/>
    <w:rsid w:val="00650C32"/>
    <w:rsid w:val="00650FCD"/>
    <w:rsid w:val="006512B5"/>
    <w:rsid w:val="006515A4"/>
    <w:rsid w:val="006525BF"/>
    <w:rsid w:val="00652F59"/>
    <w:rsid w:val="00656E6F"/>
    <w:rsid w:val="00657991"/>
    <w:rsid w:val="00660534"/>
    <w:rsid w:val="00661283"/>
    <w:rsid w:val="006630A3"/>
    <w:rsid w:val="00666DB4"/>
    <w:rsid w:val="00667613"/>
    <w:rsid w:val="00670529"/>
    <w:rsid w:val="00671AA4"/>
    <w:rsid w:val="0067559A"/>
    <w:rsid w:val="006778BB"/>
    <w:rsid w:val="0068021A"/>
    <w:rsid w:val="00681FD6"/>
    <w:rsid w:val="006831F3"/>
    <w:rsid w:val="006836D3"/>
    <w:rsid w:val="00683FA8"/>
    <w:rsid w:val="006902D6"/>
    <w:rsid w:val="00690469"/>
    <w:rsid w:val="00691C7C"/>
    <w:rsid w:val="00694F4D"/>
    <w:rsid w:val="00697EAD"/>
    <w:rsid w:val="006A03A1"/>
    <w:rsid w:val="006A086D"/>
    <w:rsid w:val="006A25CE"/>
    <w:rsid w:val="006A286B"/>
    <w:rsid w:val="006A357A"/>
    <w:rsid w:val="006A4AD8"/>
    <w:rsid w:val="006A682E"/>
    <w:rsid w:val="006A722A"/>
    <w:rsid w:val="006A7854"/>
    <w:rsid w:val="006B2F44"/>
    <w:rsid w:val="006B4EBD"/>
    <w:rsid w:val="006B5C57"/>
    <w:rsid w:val="006C0B5A"/>
    <w:rsid w:val="006C10F9"/>
    <w:rsid w:val="006C180D"/>
    <w:rsid w:val="006C1ABD"/>
    <w:rsid w:val="006C46F6"/>
    <w:rsid w:val="006C600E"/>
    <w:rsid w:val="006C64E5"/>
    <w:rsid w:val="006D050F"/>
    <w:rsid w:val="006D163E"/>
    <w:rsid w:val="006D16FC"/>
    <w:rsid w:val="006D1FF2"/>
    <w:rsid w:val="006E108F"/>
    <w:rsid w:val="006E1A95"/>
    <w:rsid w:val="006E329C"/>
    <w:rsid w:val="006E333B"/>
    <w:rsid w:val="006E3967"/>
    <w:rsid w:val="006E604A"/>
    <w:rsid w:val="006F22DB"/>
    <w:rsid w:val="006F26AB"/>
    <w:rsid w:val="006F3286"/>
    <w:rsid w:val="006F3335"/>
    <w:rsid w:val="006F5172"/>
    <w:rsid w:val="006F52C4"/>
    <w:rsid w:val="006F6CCD"/>
    <w:rsid w:val="00700E52"/>
    <w:rsid w:val="0070107F"/>
    <w:rsid w:val="00701566"/>
    <w:rsid w:val="00701795"/>
    <w:rsid w:val="00701B30"/>
    <w:rsid w:val="00701CAC"/>
    <w:rsid w:val="00703092"/>
    <w:rsid w:val="00707324"/>
    <w:rsid w:val="0071036A"/>
    <w:rsid w:val="0071143C"/>
    <w:rsid w:val="00712ADB"/>
    <w:rsid w:val="00714468"/>
    <w:rsid w:val="00714F04"/>
    <w:rsid w:val="0072180E"/>
    <w:rsid w:val="00722F98"/>
    <w:rsid w:val="0072400D"/>
    <w:rsid w:val="007247E3"/>
    <w:rsid w:val="00725930"/>
    <w:rsid w:val="00725F35"/>
    <w:rsid w:val="00726D28"/>
    <w:rsid w:val="00731DF2"/>
    <w:rsid w:val="00732D9D"/>
    <w:rsid w:val="00734CCE"/>
    <w:rsid w:val="00740D94"/>
    <w:rsid w:val="00740F2D"/>
    <w:rsid w:val="0074293F"/>
    <w:rsid w:val="0074436A"/>
    <w:rsid w:val="007470DF"/>
    <w:rsid w:val="0074789B"/>
    <w:rsid w:val="0075123B"/>
    <w:rsid w:val="00752FB0"/>
    <w:rsid w:val="0075358C"/>
    <w:rsid w:val="00753A0A"/>
    <w:rsid w:val="00754839"/>
    <w:rsid w:val="00756807"/>
    <w:rsid w:val="007576D4"/>
    <w:rsid w:val="00757C0F"/>
    <w:rsid w:val="00760940"/>
    <w:rsid w:val="00760E11"/>
    <w:rsid w:val="00761277"/>
    <w:rsid w:val="00763B67"/>
    <w:rsid w:val="007663E5"/>
    <w:rsid w:val="00766B7A"/>
    <w:rsid w:val="00767E76"/>
    <w:rsid w:val="00772937"/>
    <w:rsid w:val="00775214"/>
    <w:rsid w:val="00780EB4"/>
    <w:rsid w:val="007844C2"/>
    <w:rsid w:val="00784A8D"/>
    <w:rsid w:val="007852C0"/>
    <w:rsid w:val="007857DE"/>
    <w:rsid w:val="00791019"/>
    <w:rsid w:val="00791CD1"/>
    <w:rsid w:val="00794F98"/>
    <w:rsid w:val="0079600E"/>
    <w:rsid w:val="007971F2"/>
    <w:rsid w:val="00797C59"/>
    <w:rsid w:val="007A13FE"/>
    <w:rsid w:val="007A3165"/>
    <w:rsid w:val="007A7AC3"/>
    <w:rsid w:val="007B13F4"/>
    <w:rsid w:val="007B3B52"/>
    <w:rsid w:val="007B48BA"/>
    <w:rsid w:val="007B5B62"/>
    <w:rsid w:val="007C2787"/>
    <w:rsid w:val="007C38A5"/>
    <w:rsid w:val="007C5082"/>
    <w:rsid w:val="007D0C4E"/>
    <w:rsid w:val="007D11D3"/>
    <w:rsid w:val="007D1F30"/>
    <w:rsid w:val="007D318C"/>
    <w:rsid w:val="007D4FB6"/>
    <w:rsid w:val="007D5C49"/>
    <w:rsid w:val="007D6F99"/>
    <w:rsid w:val="007E393E"/>
    <w:rsid w:val="007E4D14"/>
    <w:rsid w:val="007E5D49"/>
    <w:rsid w:val="007E6327"/>
    <w:rsid w:val="007F0F83"/>
    <w:rsid w:val="007F476D"/>
    <w:rsid w:val="007F51EA"/>
    <w:rsid w:val="007F5F82"/>
    <w:rsid w:val="007F7EC8"/>
    <w:rsid w:val="00800328"/>
    <w:rsid w:val="00801570"/>
    <w:rsid w:val="00803B22"/>
    <w:rsid w:val="008048ED"/>
    <w:rsid w:val="00804A83"/>
    <w:rsid w:val="0080500C"/>
    <w:rsid w:val="0080649D"/>
    <w:rsid w:val="00806F05"/>
    <w:rsid w:val="0081032A"/>
    <w:rsid w:val="00810EFD"/>
    <w:rsid w:val="008272F7"/>
    <w:rsid w:val="00831594"/>
    <w:rsid w:val="0083242A"/>
    <w:rsid w:val="00832588"/>
    <w:rsid w:val="00832C18"/>
    <w:rsid w:val="00835843"/>
    <w:rsid w:val="00836225"/>
    <w:rsid w:val="0084160D"/>
    <w:rsid w:val="008419B3"/>
    <w:rsid w:val="00842CCC"/>
    <w:rsid w:val="00843BDD"/>
    <w:rsid w:val="00850C12"/>
    <w:rsid w:val="00850CCB"/>
    <w:rsid w:val="00851D6E"/>
    <w:rsid w:val="008525DA"/>
    <w:rsid w:val="00852EA4"/>
    <w:rsid w:val="0085408F"/>
    <w:rsid w:val="00860549"/>
    <w:rsid w:val="00861065"/>
    <w:rsid w:val="008617BB"/>
    <w:rsid w:val="008618D3"/>
    <w:rsid w:val="00862225"/>
    <w:rsid w:val="008625C1"/>
    <w:rsid w:val="00862635"/>
    <w:rsid w:val="0086266F"/>
    <w:rsid w:val="008630A7"/>
    <w:rsid w:val="00863816"/>
    <w:rsid w:val="00863C70"/>
    <w:rsid w:val="00863EAA"/>
    <w:rsid w:val="0086766D"/>
    <w:rsid w:val="00870CA1"/>
    <w:rsid w:val="0087101B"/>
    <w:rsid w:val="00874601"/>
    <w:rsid w:val="00875CE1"/>
    <w:rsid w:val="008766D1"/>
    <w:rsid w:val="0087747A"/>
    <w:rsid w:val="008813D2"/>
    <w:rsid w:val="008837CC"/>
    <w:rsid w:val="008838FA"/>
    <w:rsid w:val="00885056"/>
    <w:rsid w:val="00887664"/>
    <w:rsid w:val="00891294"/>
    <w:rsid w:val="00891CF7"/>
    <w:rsid w:val="008923EC"/>
    <w:rsid w:val="00892CFF"/>
    <w:rsid w:val="008A08AC"/>
    <w:rsid w:val="008A0BBB"/>
    <w:rsid w:val="008A100F"/>
    <w:rsid w:val="008A3073"/>
    <w:rsid w:val="008A3A59"/>
    <w:rsid w:val="008A4DD8"/>
    <w:rsid w:val="008A522D"/>
    <w:rsid w:val="008A5448"/>
    <w:rsid w:val="008A5AA6"/>
    <w:rsid w:val="008A68F7"/>
    <w:rsid w:val="008A6E04"/>
    <w:rsid w:val="008A7AE4"/>
    <w:rsid w:val="008A7B14"/>
    <w:rsid w:val="008B0DAE"/>
    <w:rsid w:val="008B16FA"/>
    <w:rsid w:val="008B18F3"/>
    <w:rsid w:val="008B1C8F"/>
    <w:rsid w:val="008B25E6"/>
    <w:rsid w:val="008B26B0"/>
    <w:rsid w:val="008B2C96"/>
    <w:rsid w:val="008B5812"/>
    <w:rsid w:val="008B684C"/>
    <w:rsid w:val="008B6CA3"/>
    <w:rsid w:val="008B76A8"/>
    <w:rsid w:val="008B7D6A"/>
    <w:rsid w:val="008C0062"/>
    <w:rsid w:val="008C0E35"/>
    <w:rsid w:val="008C1FE7"/>
    <w:rsid w:val="008C2CB4"/>
    <w:rsid w:val="008C4D86"/>
    <w:rsid w:val="008C57ED"/>
    <w:rsid w:val="008C5C22"/>
    <w:rsid w:val="008C65E9"/>
    <w:rsid w:val="008C67B2"/>
    <w:rsid w:val="008C67D1"/>
    <w:rsid w:val="008D0231"/>
    <w:rsid w:val="008D096C"/>
    <w:rsid w:val="008D103F"/>
    <w:rsid w:val="008D2ED5"/>
    <w:rsid w:val="008D3610"/>
    <w:rsid w:val="008D4FF9"/>
    <w:rsid w:val="008D5674"/>
    <w:rsid w:val="008D653C"/>
    <w:rsid w:val="008D6F44"/>
    <w:rsid w:val="008E094C"/>
    <w:rsid w:val="008E0F3D"/>
    <w:rsid w:val="008E18A8"/>
    <w:rsid w:val="008E1D2E"/>
    <w:rsid w:val="008E2B3A"/>
    <w:rsid w:val="008E2D88"/>
    <w:rsid w:val="008E42B6"/>
    <w:rsid w:val="008E5464"/>
    <w:rsid w:val="008E6708"/>
    <w:rsid w:val="008E68B7"/>
    <w:rsid w:val="008E7408"/>
    <w:rsid w:val="008E7FE3"/>
    <w:rsid w:val="008F1387"/>
    <w:rsid w:val="008F2E53"/>
    <w:rsid w:val="008F5FA6"/>
    <w:rsid w:val="008F6776"/>
    <w:rsid w:val="008F6ED4"/>
    <w:rsid w:val="008F7D7D"/>
    <w:rsid w:val="00904232"/>
    <w:rsid w:val="0090495D"/>
    <w:rsid w:val="009112F6"/>
    <w:rsid w:val="00913459"/>
    <w:rsid w:val="00913A5C"/>
    <w:rsid w:val="00920966"/>
    <w:rsid w:val="00920C1B"/>
    <w:rsid w:val="00921D59"/>
    <w:rsid w:val="00921F42"/>
    <w:rsid w:val="00922614"/>
    <w:rsid w:val="00922A63"/>
    <w:rsid w:val="0092559A"/>
    <w:rsid w:val="0092569B"/>
    <w:rsid w:val="0092776A"/>
    <w:rsid w:val="009305E0"/>
    <w:rsid w:val="00931EB0"/>
    <w:rsid w:val="009323EA"/>
    <w:rsid w:val="00933810"/>
    <w:rsid w:val="00933DC3"/>
    <w:rsid w:val="00934D69"/>
    <w:rsid w:val="00935CAE"/>
    <w:rsid w:val="00936067"/>
    <w:rsid w:val="00937E70"/>
    <w:rsid w:val="00937FD1"/>
    <w:rsid w:val="00940665"/>
    <w:rsid w:val="009413AF"/>
    <w:rsid w:val="00941EC5"/>
    <w:rsid w:val="009428E0"/>
    <w:rsid w:val="00942A88"/>
    <w:rsid w:val="00943F1E"/>
    <w:rsid w:val="009449E3"/>
    <w:rsid w:val="009456C3"/>
    <w:rsid w:val="009458FF"/>
    <w:rsid w:val="00945DA8"/>
    <w:rsid w:val="009469FC"/>
    <w:rsid w:val="009530A0"/>
    <w:rsid w:val="00953109"/>
    <w:rsid w:val="00960BFD"/>
    <w:rsid w:val="009616B2"/>
    <w:rsid w:val="00961E38"/>
    <w:rsid w:val="00962DCE"/>
    <w:rsid w:val="00962E73"/>
    <w:rsid w:val="00972741"/>
    <w:rsid w:val="00974C74"/>
    <w:rsid w:val="00974FDE"/>
    <w:rsid w:val="009751BF"/>
    <w:rsid w:val="00976C81"/>
    <w:rsid w:val="00977B27"/>
    <w:rsid w:val="00980D37"/>
    <w:rsid w:val="0098169A"/>
    <w:rsid w:val="009817C2"/>
    <w:rsid w:val="00981DC9"/>
    <w:rsid w:val="00982CAA"/>
    <w:rsid w:val="00983CE4"/>
    <w:rsid w:val="009858B7"/>
    <w:rsid w:val="0098596B"/>
    <w:rsid w:val="00986145"/>
    <w:rsid w:val="009877D1"/>
    <w:rsid w:val="00987BDF"/>
    <w:rsid w:val="0099023D"/>
    <w:rsid w:val="00991042"/>
    <w:rsid w:val="0099133A"/>
    <w:rsid w:val="00993D8E"/>
    <w:rsid w:val="00994939"/>
    <w:rsid w:val="00997E8C"/>
    <w:rsid w:val="009A11BA"/>
    <w:rsid w:val="009A447A"/>
    <w:rsid w:val="009B1BF1"/>
    <w:rsid w:val="009B26EE"/>
    <w:rsid w:val="009B2CA8"/>
    <w:rsid w:val="009C05F8"/>
    <w:rsid w:val="009C1ED9"/>
    <w:rsid w:val="009C3555"/>
    <w:rsid w:val="009C421A"/>
    <w:rsid w:val="009C4A08"/>
    <w:rsid w:val="009C4E94"/>
    <w:rsid w:val="009C7573"/>
    <w:rsid w:val="009D262A"/>
    <w:rsid w:val="009D34B0"/>
    <w:rsid w:val="009D622D"/>
    <w:rsid w:val="009D776C"/>
    <w:rsid w:val="009D7979"/>
    <w:rsid w:val="009E0028"/>
    <w:rsid w:val="009E0A8C"/>
    <w:rsid w:val="009E1954"/>
    <w:rsid w:val="009E23E9"/>
    <w:rsid w:val="009E2DBA"/>
    <w:rsid w:val="009E3365"/>
    <w:rsid w:val="009E6879"/>
    <w:rsid w:val="009F27EA"/>
    <w:rsid w:val="009F49C6"/>
    <w:rsid w:val="009F501A"/>
    <w:rsid w:val="009F5348"/>
    <w:rsid w:val="009F672C"/>
    <w:rsid w:val="009F6DEB"/>
    <w:rsid w:val="009F7231"/>
    <w:rsid w:val="009F7264"/>
    <w:rsid w:val="00A012BC"/>
    <w:rsid w:val="00A012CF"/>
    <w:rsid w:val="00A0301D"/>
    <w:rsid w:val="00A03F32"/>
    <w:rsid w:val="00A058FD"/>
    <w:rsid w:val="00A07BE8"/>
    <w:rsid w:val="00A125BA"/>
    <w:rsid w:val="00A12CEA"/>
    <w:rsid w:val="00A15E9A"/>
    <w:rsid w:val="00A160B8"/>
    <w:rsid w:val="00A21BA7"/>
    <w:rsid w:val="00A220EE"/>
    <w:rsid w:val="00A226BF"/>
    <w:rsid w:val="00A23579"/>
    <w:rsid w:val="00A23A5F"/>
    <w:rsid w:val="00A260C8"/>
    <w:rsid w:val="00A277F7"/>
    <w:rsid w:val="00A30158"/>
    <w:rsid w:val="00A35954"/>
    <w:rsid w:val="00A36829"/>
    <w:rsid w:val="00A37DFB"/>
    <w:rsid w:val="00A41A30"/>
    <w:rsid w:val="00A43AAB"/>
    <w:rsid w:val="00A44761"/>
    <w:rsid w:val="00A4659B"/>
    <w:rsid w:val="00A46802"/>
    <w:rsid w:val="00A47691"/>
    <w:rsid w:val="00A47CBD"/>
    <w:rsid w:val="00A55F31"/>
    <w:rsid w:val="00A55F8F"/>
    <w:rsid w:val="00A5757F"/>
    <w:rsid w:val="00A576C4"/>
    <w:rsid w:val="00A600AD"/>
    <w:rsid w:val="00A63C67"/>
    <w:rsid w:val="00A648FA"/>
    <w:rsid w:val="00A6510B"/>
    <w:rsid w:val="00A66327"/>
    <w:rsid w:val="00A664CB"/>
    <w:rsid w:val="00A6715B"/>
    <w:rsid w:val="00A70A18"/>
    <w:rsid w:val="00A70F6E"/>
    <w:rsid w:val="00A7459E"/>
    <w:rsid w:val="00A757F9"/>
    <w:rsid w:val="00A75A0A"/>
    <w:rsid w:val="00A7603B"/>
    <w:rsid w:val="00A77DBD"/>
    <w:rsid w:val="00A8001E"/>
    <w:rsid w:val="00A80B86"/>
    <w:rsid w:val="00A81529"/>
    <w:rsid w:val="00A81AB0"/>
    <w:rsid w:val="00A82469"/>
    <w:rsid w:val="00A82834"/>
    <w:rsid w:val="00A83EE5"/>
    <w:rsid w:val="00A86B4C"/>
    <w:rsid w:val="00A86E2B"/>
    <w:rsid w:val="00A87F71"/>
    <w:rsid w:val="00A900CD"/>
    <w:rsid w:val="00A9018C"/>
    <w:rsid w:val="00A904EE"/>
    <w:rsid w:val="00A94B6B"/>
    <w:rsid w:val="00A95802"/>
    <w:rsid w:val="00A958A1"/>
    <w:rsid w:val="00A97669"/>
    <w:rsid w:val="00AA3B23"/>
    <w:rsid w:val="00AA5A87"/>
    <w:rsid w:val="00AA6638"/>
    <w:rsid w:val="00AA6FB1"/>
    <w:rsid w:val="00AA7C87"/>
    <w:rsid w:val="00AA7CDF"/>
    <w:rsid w:val="00AB6C59"/>
    <w:rsid w:val="00AC0CD4"/>
    <w:rsid w:val="00AC23E8"/>
    <w:rsid w:val="00AC2E4B"/>
    <w:rsid w:val="00AC333B"/>
    <w:rsid w:val="00AC3EE9"/>
    <w:rsid w:val="00AC597C"/>
    <w:rsid w:val="00AC7434"/>
    <w:rsid w:val="00AC7FE6"/>
    <w:rsid w:val="00AD0F9D"/>
    <w:rsid w:val="00AD181B"/>
    <w:rsid w:val="00AD1EF9"/>
    <w:rsid w:val="00AD2CB8"/>
    <w:rsid w:val="00AD2F00"/>
    <w:rsid w:val="00AD317F"/>
    <w:rsid w:val="00AD7B12"/>
    <w:rsid w:val="00AE17EA"/>
    <w:rsid w:val="00AE2E39"/>
    <w:rsid w:val="00AE2FD3"/>
    <w:rsid w:val="00AE53EE"/>
    <w:rsid w:val="00AE61CD"/>
    <w:rsid w:val="00AE6A50"/>
    <w:rsid w:val="00AF3964"/>
    <w:rsid w:val="00AF4F94"/>
    <w:rsid w:val="00AF52CF"/>
    <w:rsid w:val="00AF632D"/>
    <w:rsid w:val="00B01070"/>
    <w:rsid w:val="00B01072"/>
    <w:rsid w:val="00B0158B"/>
    <w:rsid w:val="00B01E81"/>
    <w:rsid w:val="00B022BD"/>
    <w:rsid w:val="00B04550"/>
    <w:rsid w:val="00B06126"/>
    <w:rsid w:val="00B063DB"/>
    <w:rsid w:val="00B07084"/>
    <w:rsid w:val="00B07C64"/>
    <w:rsid w:val="00B12133"/>
    <w:rsid w:val="00B1424F"/>
    <w:rsid w:val="00B17759"/>
    <w:rsid w:val="00B2002E"/>
    <w:rsid w:val="00B20AA0"/>
    <w:rsid w:val="00B21F19"/>
    <w:rsid w:val="00B23D16"/>
    <w:rsid w:val="00B31B3C"/>
    <w:rsid w:val="00B31DC4"/>
    <w:rsid w:val="00B326D9"/>
    <w:rsid w:val="00B3325F"/>
    <w:rsid w:val="00B335A0"/>
    <w:rsid w:val="00B341D7"/>
    <w:rsid w:val="00B37CB0"/>
    <w:rsid w:val="00B40468"/>
    <w:rsid w:val="00B41406"/>
    <w:rsid w:val="00B43AC2"/>
    <w:rsid w:val="00B45ECB"/>
    <w:rsid w:val="00B461CE"/>
    <w:rsid w:val="00B4628D"/>
    <w:rsid w:val="00B46627"/>
    <w:rsid w:val="00B4694C"/>
    <w:rsid w:val="00B474AB"/>
    <w:rsid w:val="00B51CC9"/>
    <w:rsid w:val="00B52CFC"/>
    <w:rsid w:val="00B53F6A"/>
    <w:rsid w:val="00B554F4"/>
    <w:rsid w:val="00B56EDF"/>
    <w:rsid w:val="00B57265"/>
    <w:rsid w:val="00B57372"/>
    <w:rsid w:val="00B61290"/>
    <w:rsid w:val="00B6342A"/>
    <w:rsid w:val="00B709E1"/>
    <w:rsid w:val="00B711E6"/>
    <w:rsid w:val="00B73814"/>
    <w:rsid w:val="00B7542F"/>
    <w:rsid w:val="00B80CE2"/>
    <w:rsid w:val="00B81058"/>
    <w:rsid w:val="00B8155A"/>
    <w:rsid w:val="00B81E6B"/>
    <w:rsid w:val="00B8468C"/>
    <w:rsid w:val="00B848E8"/>
    <w:rsid w:val="00B84E3C"/>
    <w:rsid w:val="00B86664"/>
    <w:rsid w:val="00B8684D"/>
    <w:rsid w:val="00B903D9"/>
    <w:rsid w:val="00B90DF2"/>
    <w:rsid w:val="00B919F5"/>
    <w:rsid w:val="00B923A9"/>
    <w:rsid w:val="00B93C12"/>
    <w:rsid w:val="00B94ADA"/>
    <w:rsid w:val="00B973A7"/>
    <w:rsid w:val="00BA09C5"/>
    <w:rsid w:val="00BA1ED4"/>
    <w:rsid w:val="00BA2049"/>
    <w:rsid w:val="00BA253F"/>
    <w:rsid w:val="00BA773E"/>
    <w:rsid w:val="00BB05D6"/>
    <w:rsid w:val="00BB1A8D"/>
    <w:rsid w:val="00BB3DC4"/>
    <w:rsid w:val="00BB6431"/>
    <w:rsid w:val="00BB6588"/>
    <w:rsid w:val="00BB7875"/>
    <w:rsid w:val="00BC0C2C"/>
    <w:rsid w:val="00BC0E91"/>
    <w:rsid w:val="00BC3890"/>
    <w:rsid w:val="00BC41D1"/>
    <w:rsid w:val="00BC4DFA"/>
    <w:rsid w:val="00BD2BC6"/>
    <w:rsid w:val="00BD4FB1"/>
    <w:rsid w:val="00BD62B4"/>
    <w:rsid w:val="00BD7F42"/>
    <w:rsid w:val="00BE0D8C"/>
    <w:rsid w:val="00BE0FE6"/>
    <w:rsid w:val="00BE2234"/>
    <w:rsid w:val="00BE22D4"/>
    <w:rsid w:val="00BE2F81"/>
    <w:rsid w:val="00BE57DA"/>
    <w:rsid w:val="00BF0B2F"/>
    <w:rsid w:val="00BF2329"/>
    <w:rsid w:val="00BF44B2"/>
    <w:rsid w:val="00BF7989"/>
    <w:rsid w:val="00C00635"/>
    <w:rsid w:val="00C0082D"/>
    <w:rsid w:val="00C035F6"/>
    <w:rsid w:val="00C05074"/>
    <w:rsid w:val="00C075E3"/>
    <w:rsid w:val="00C07648"/>
    <w:rsid w:val="00C106CF"/>
    <w:rsid w:val="00C10B0F"/>
    <w:rsid w:val="00C1279B"/>
    <w:rsid w:val="00C13905"/>
    <w:rsid w:val="00C15843"/>
    <w:rsid w:val="00C175CF"/>
    <w:rsid w:val="00C17FE3"/>
    <w:rsid w:val="00C20E4B"/>
    <w:rsid w:val="00C20F72"/>
    <w:rsid w:val="00C21583"/>
    <w:rsid w:val="00C22965"/>
    <w:rsid w:val="00C23158"/>
    <w:rsid w:val="00C23252"/>
    <w:rsid w:val="00C243B1"/>
    <w:rsid w:val="00C24747"/>
    <w:rsid w:val="00C25B47"/>
    <w:rsid w:val="00C279EC"/>
    <w:rsid w:val="00C32EF5"/>
    <w:rsid w:val="00C34504"/>
    <w:rsid w:val="00C41336"/>
    <w:rsid w:val="00C413B8"/>
    <w:rsid w:val="00C42873"/>
    <w:rsid w:val="00C42A12"/>
    <w:rsid w:val="00C43CBC"/>
    <w:rsid w:val="00C4607E"/>
    <w:rsid w:val="00C46FE2"/>
    <w:rsid w:val="00C5009C"/>
    <w:rsid w:val="00C5048B"/>
    <w:rsid w:val="00C5069C"/>
    <w:rsid w:val="00C531E4"/>
    <w:rsid w:val="00C55369"/>
    <w:rsid w:val="00C56924"/>
    <w:rsid w:val="00C60BBE"/>
    <w:rsid w:val="00C61E75"/>
    <w:rsid w:val="00C61FE5"/>
    <w:rsid w:val="00C6409F"/>
    <w:rsid w:val="00C67131"/>
    <w:rsid w:val="00C71785"/>
    <w:rsid w:val="00C74A15"/>
    <w:rsid w:val="00C74AE9"/>
    <w:rsid w:val="00C7642D"/>
    <w:rsid w:val="00C77B7B"/>
    <w:rsid w:val="00C81373"/>
    <w:rsid w:val="00C81F93"/>
    <w:rsid w:val="00C83DCA"/>
    <w:rsid w:val="00C84798"/>
    <w:rsid w:val="00C84927"/>
    <w:rsid w:val="00C9209F"/>
    <w:rsid w:val="00C924F7"/>
    <w:rsid w:val="00C925AC"/>
    <w:rsid w:val="00C92F89"/>
    <w:rsid w:val="00C935E3"/>
    <w:rsid w:val="00C94BB2"/>
    <w:rsid w:val="00C94DED"/>
    <w:rsid w:val="00C94F88"/>
    <w:rsid w:val="00C975E6"/>
    <w:rsid w:val="00C97EF0"/>
    <w:rsid w:val="00CA0175"/>
    <w:rsid w:val="00CA486A"/>
    <w:rsid w:val="00CA7690"/>
    <w:rsid w:val="00CB16EB"/>
    <w:rsid w:val="00CB3678"/>
    <w:rsid w:val="00CB3A84"/>
    <w:rsid w:val="00CB3E72"/>
    <w:rsid w:val="00CB3F94"/>
    <w:rsid w:val="00CB4E5C"/>
    <w:rsid w:val="00CB5544"/>
    <w:rsid w:val="00CB581B"/>
    <w:rsid w:val="00CC0098"/>
    <w:rsid w:val="00CC0E7E"/>
    <w:rsid w:val="00CC1C8F"/>
    <w:rsid w:val="00CC6669"/>
    <w:rsid w:val="00CD5644"/>
    <w:rsid w:val="00CD5BAD"/>
    <w:rsid w:val="00CD63DA"/>
    <w:rsid w:val="00CE20D4"/>
    <w:rsid w:val="00CE286D"/>
    <w:rsid w:val="00CE3034"/>
    <w:rsid w:val="00CE3C46"/>
    <w:rsid w:val="00CE43B4"/>
    <w:rsid w:val="00CE45AB"/>
    <w:rsid w:val="00CE5631"/>
    <w:rsid w:val="00CE5DB6"/>
    <w:rsid w:val="00CE5DCF"/>
    <w:rsid w:val="00CE7DFC"/>
    <w:rsid w:val="00CF268B"/>
    <w:rsid w:val="00CF278F"/>
    <w:rsid w:val="00CF34C8"/>
    <w:rsid w:val="00CF34EE"/>
    <w:rsid w:val="00CF39CF"/>
    <w:rsid w:val="00CF3D88"/>
    <w:rsid w:val="00CF5DAA"/>
    <w:rsid w:val="00CF716D"/>
    <w:rsid w:val="00D02BEA"/>
    <w:rsid w:val="00D04141"/>
    <w:rsid w:val="00D04A03"/>
    <w:rsid w:val="00D06949"/>
    <w:rsid w:val="00D110A2"/>
    <w:rsid w:val="00D14275"/>
    <w:rsid w:val="00D155C5"/>
    <w:rsid w:val="00D16908"/>
    <w:rsid w:val="00D17252"/>
    <w:rsid w:val="00D17272"/>
    <w:rsid w:val="00D17C99"/>
    <w:rsid w:val="00D21B40"/>
    <w:rsid w:val="00D2447C"/>
    <w:rsid w:val="00D26434"/>
    <w:rsid w:val="00D26788"/>
    <w:rsid w:val="00D27DBF"/>
    <w:rsid w:val="00D33BF9"/>
    <w:rsid w:val="00D344EB"/>
    <w:rsid w:val="00D35D26"/>
    <w:rsid w:val="00D36C61"/>
    <w:rsid w:val="00D41C60"/>
    <w:rsid w:val="00D425D7"/>
    <w:rsid w:val="00D44427"/>
    <w:rsid w:val="00D45263"/>
    <w:rsid w:val="00D46BDC"/>
    <w:rsid w:val="00D47A51"/>
    <w:rsid w:val="00D50725"/>
    <w:rsid w:val="00D5107B"/>
    <w:rsid w:val="00D515A4"/>
    <w:rsid w:val="00D51727"/>
    <w:rsid w:val="00D53AF5"/>
    <w:rsid w:val="00D565E9"/>
    <w:rsid w:val="00D56910"/>
    <w:rsid w:val="00D600A0"/>
    <w:rsid w:val="00D60CBA"/>
    <w:rsid w:val="00D61DD4"/>
    <w:rsid w:val="00D622ED"/>
    <w:rsid w:val="00D623C8"/>
    <w:rsid w:val="00D64431"/>
    <w:rsid w:val="00D646EE"/>
    <w:rsid w:val="00D710DD"/>
    <w:rsid w:val="00D71319"/>
    <w:rsid w:val="00D71986"/>
    <w:rsid w:val="00D75014"/>
    <w:rsid w:val="00D8037A"/>
    <w:rsid w:val="00D80708"/>
    <w:rsid w:val="00D8198A"/>
    <w:rsid w:val="00D82978"/>
    <w:rsid w:val="00D84705"/>
    <w:rsid w:val="00D8574F"/>
    <w:rsid w:val="00D86C32"/>
    <w:rsid w:val="00D87692"/>
    <w:rsid w:val="00D876A7"/>
    <w:rsid w:val="00D879B5"/>
    <w:rsid w:val="00D903C3"/>
    <w:rsid w:val="00D90B1A"/>
    <w:rsid w:val="00D910C1"/>
    <w:rsid w:val="00D93314"/>
    <w:rsid w:val="00D935CA"/>
    <w:rsid w:val="00D97207"/>
    <w:rsid w:val="00D97A52"/>
    <w:rsid w:val="00DA0E6F"/>
    <w:rsid w:val="00DA5522"/>
    <w:rsid w:val="00DA6BE8"/>
    <w:rsid w:val="00DA6D0B"/>
    <w:rsid w:val="00DB1E3F"/>
    <w:rsid w:val="00DB29C9"/>
    <w:rsid w:val="00DB35D3"/>
    <w:rsid w:val="00DB378C"/>
    <w:rsid w:val="00DB4DD7"/>
    <w:rsid w:val="00DB72C6"/>
    <w:rsid w:val="00DC093C"/>
    <w:rsid w:val="00DC15DD"/>
    <w:rsid w:val="00DC2446"/>
    <w:rsid w:val="00DC3FF1"/>
    <w:rsid w:val="00DC5017"/>
    <w:rsid w:val="00DC53ED"/>
    <w:rsid w:val="00DC5618"/>
    <w:rsid w:val="00DD0023"/>
    <w:rsid w:val="00DD11E8"/>
    <w:rsid w:val="00DD23F7"/>
    <w:rsid w:val="00DD2E50"/>
    <w:rsid w:val="00DD2E61"/>
    <w:rsid w:val="00DD31C6"/>
    <w:rsid w:val="00DD43B4"/>
    <w:rsid w:val="00DD442C"/>
    <w:rsid w:val="00DD4F8E"/>
    <w:rsid w:val="00DD5A6D"/>
    <w:rsid w:val="00DE12D2"/>
    <w:rsid w:val="00DE1E48"/>
    <w:rsid w:val="00DE3B85"/>
    <w:rsid w:val="00DE57F8"/>
    <w:rsid w:val="00DE5900"/>
    <w:rsid w:val="00DE64D4"/>
    <w:rsid w:val="00DE6B81"/>
    <w:rsid w:val="00DE7E5B"/>
    <w:rsid w:val="00DF0576"/>
    <w:rsid w:val="00DF0F1A"/>
    <w:rsid w:val="00DF4460"/>
    <w:rsid w:val="00DF46BF"/>
    <w:rsid w:val="00DF48CD"/>
    <w:rsid w:val="00DF61A1"/>
    <w:rsid w:val="00E0031A"/>
    <w:rsid w:val="00E0614E"/>
    <w:rsid w:val="00E10129"/>
    <w:rsid w:val="00E10BEB"/>
    <w:rsid w:val="00E10C61"/>
    <w:rsid w:val="00E1432A"/>
    <w:rsid w:val="00E151A8"/>
    <w:rsid w:val="00E15B7E"/>
    <w:rsid w:val="00E16029"/>
    <w:rsid w:val="00E17843"/>
    <w:rsid w:val="00E20114"/>
    <w:rsid w:val="00E2357D"/>
    <w:rsid w:val="00E242DC"/>
    <w:rsid w:val="00E25BDE"/>
    <w:rsid w:val="00E271D6"/>
    <w:rsid w:val="00E30301"/>
    <w:rsid w:val="00E30E7D"/>
    <w:rsid w:val="00E31A1B"/>
    <w:rsid w:val="00E3492F"/>
    <w:rsid w:val="00E35DB6"/>
    <w:rsid w:val="00E36EF1"/>
    <w:rsid w:val="00E37E8C"/>
    <w:rsid w:val="00E401BD"/>
    <w:rsid w:val="00E4130E"/>
    <w:rsid w:val="00E43EE6"/>
    <w:rsid w:val="00E46FFE"/>
    <w:rsid w:val="00E51D65"/>
    <w:rsid w:val="00E52BED"/>
    <w:rsid w:val="00E53470"/>
    <w:rsid w:val="00E53628"/>
    <w:rsid w:val="00E53C21"/>
    <w:rsid w:val="00E55546"/>
    <w:rsid w:val="00E562BC"/>
    <w:rsid w:val="00E563E5"/>
    <w:rsid w:val="00E6198B"/>
    <w:rsid w:val="00E61F6B"/>
    <w:rsid w:val="00E62E3B"/>
    <w:rsid w:val="00E63D41"/>
    <w:rsid w:val="00E64778"/>
    <w:rsid w:val="00E65498"/>
    <w:rsid w:val="00E6623D"/>
    <w:rsid w:val="00E66DDF"/>
    <w:rsid w:val="00E70092"/>
    <w:rsid w:val="00E724A3"/>
    <w:rsid w:val="00E758E3"/>
    <w:rsid w:val="00E8391F"/>
    <w:rsid w:val="00E83CB0"/>
    <w:rsid w:val="00E8414E"/>
    <w:rsid w:val="00E853A8"/>
    <w:rsid w:val="00E85D8D"/>
    <w:rsid w:val="00E86789"/>
    <w:rsid w:val="00E9055F"/>
    <w:rsid w:val="00E92C0E"/>
    <w:rsid w:val="00E94B58"/>
    <w:rsid w:val="00E94DF2"/>
    <w:rsid w:val="00E9662C"/>
    <w:rsid w:val="00EA06A0"/>
    <w:rsid w:val="00EA36BC"/>
    <w:rsid w:val="00EA4938"/>
    <w:rsid w:val="00EA4B72"/>
    <w:rsid w:val="00EA4E7E"/>
    <w:rsid w:val="00EA5E92"/>
    <w:rsid w:val="00EA6A1A"/>
    <w:rsid w:val="00EA74E9"/>
    <w:rsid w:val="00EA7C03"/>
    <w:rsid w:val="00EB0320"/>
    <w:rsid w:val="00EB0C15"/>
    <w:rsid w:val="00EB0DA2"/>
    <w:rsid w:val="00EB3573"/>
    <w:rsid w:val="00EB46EE"/>
    <w:rsid w:val="00EB6608"/>
    <w:rsid w:val="00EB68F4"/>
    <w:rsid w:val="00EC005D"/>
    <w:rsid w:val="00EC0108"/>
    <w:rsid w:val="00EC1DDF"/>
    <w:rsid w:val="00EC2969"/>
    <w:rsid w:val="00ED2C16"/>
    <w:rsid w:val="00ED5502"/>
    <w:rsid w:val="00ED681B"/>
    <w:rsid w:val="00ED6F3A"/>
    <w:rsid w:val="00EE3556"/>
    <w:rsid w:val="00EE64E5"/>
    <w:rsid w:val="00EE6602"/>
    <w:rsid w:val="00EE7DB2"/>
    <w:rsid w:val="00EF31EB"/>
    <w:rsid w:val="00EF38A1"/>
    <w:rsid w:val="00EF3E40"/>
    <w:rsid w:val="00F00CC9"/>
    <w:rsid w:val="00F05B32"/>
    <w:rsid w:val="00F06EF8"/>
    <w:rsid w:val="00F10BF3"/>
    <w:rsid w:val="00F1198F"/>
    <w:rsid w:val="00F14A4D"/>
    <w:rsid w:val="00F215AD"/>
    <w:rsid w:val="00F27D60"/>
    <w:rsid w:val="00F33AE7"/>
    <w:rsid w:val="00F33D5F"/>
    <w:rsid w:val="00F340AA"/>
    <w:rsid w:val="00F37EAC"/>
    <w:rsid w:val="00F409EE"/>
    <w:rsid w:val="00F41662"/>
    <w:rsid w:val="00F428AF"/>
    <w:rsid w:val="00F434B4"/>
    <w:rsid w:val="00F4387F"/>
    <w:rsid w:val="00F4403C"/>
    <w:rsid w:val="00F450CA"/>
    <w:rsid w:val="00F53FC0"/>
    <w:rsid w:val="00F551FF"/>
    <w:rsid w:val="00F55360"/>
    <w:rsid w:val="00F621AE"/>
    <w:rsid w:val="00F63869"/>
    <w:rsid w:val="00F64539"/>
    <w:rsid w:val="00F65EF9"/>
    <w:rsid w:val="00F73833"/>
    <w:rsid w:val="00F74C8D"/>
    <w:rsid w:val="00F754A8"/>
    <w:rsid w:val="00F75B3E"/>
    <w:rsid w:val="00F766E9"/>
    <w:rsid w:val="00F80D78"/>
    <w:rsid w:val="00F815A5"/>
    <w:rsid w:val="00F823C1"/>
    <w:rsid w:val="00F83831"/>
    <w:rsid w:val="00F8452F"/>
    <w:rsid w:val="00F869D0"/>
    <w:rsid w:val="00F878E8"/>
    <w:rsid w:val="00F90FA9"/>
    <w:rsid w:val="00F924F7"/>
    <w:rsid w:val="00F93F98"/>
    <w:rsid w:val="00F945D2"/>
    <w:rsid w:val="00F9555C"/>
    <w:rsid w:val="00F960BF"/>
    <w:rsid w:val="00F97831"/>
    <w:rsid w:val="00FA1093"/>
    <w:rsid w:val="00FA1761"/>
    <w:rsid w:val="00FA19F3"/>
    <w:rsid w:val="00FA2EE8"/>
    <w:rsid w:val="00FA3A22"/>
    <w:rsid w:val="00FA4669"/>
    <w:rsid w:val="00FA4EFF"/>
    <w:rsid w:val="00FA576F"/>
    <w:rsid w:val="00FA57C4"/>
    <w:rsid w:val="00FA6A58"/>
    <w:rsid w:val="00FA6D75"/>
    <w:rsid w:val="00FA7E26"/>
    <w:rsid w:val="00FB1276"/>
    <w:rsid w:val="00FB2355"/>
    <w:rsid w:val="00FB2B08"/>
    <w:rsid w:val="00FB2D4D"/>
    <w:rsid w:val="00FB4C3F"/>
    <w:rsid w:val="00FC0D3B"/>
    <w:rsid w:val="00FC25AF"/>
    <w:rsid w:val="00FC4BFD"/>
    <w:rsid w:val="00FC54E9"/>
    <w:rsid w:val="00FC67F1"/>
    <w:rsid w:val="00FD0314"/>
    <w:rsid w:val="00FD0B42"/>
    <w:rsid w:val="00FD0C6C"/>
    <w:rsid w:val="00FD0E7D"/>
    <w:rsid w:val="00FD1814"/>
    <w:rsid w:val="00FD3E34"/>
    <w:rsid w:val="00FD6729"/>
    <w:rsid w:val="00FD7AA8"/>
    <w:rsid w:val="00FE24D3"/>
    <w:rsid w:val="00FE2915"/>
    <w:rsid w:val="00FE5280"/>
    <w:rsid w:val="00FE663E"/>
    <w:rsid w:val="00FF2C43"/>
    <w:rsid w:val="00FF5EF2"/>
    <w:rsid w:val="00FF6FEA"/>
    <w:rsid w:val="00FF71D3"/>
    <w:rsid w:val="011941B1"/>
    <w:rsid w:val="011B47C1"/>
    <w:rsid w:val="01C52FFB"/>
    <w:rsid w:val="02BE0ED9"/>
    <w:rsid w:val="02D672C0"/>
    <w:rsid w:val="02F2197A"/>
    <w:rsid w:val="03CA784E"/>
    <w:rsid w:val="053E3777"/>
    <w:rsid w:val="08131685"/>
    <w:rsid w:val="08EE4992"/>
    <w:rsid w:val="09ED6BDE"/>
    <w:rsid w:val="0AAC6AA7"/>
    <w:rsid w:val="0AD87A32"/>
    <w:rsid w:val="0DFC36AD"/>
    <w:rsid w:val="0E80608C"/>
    <w:rsid w:val="0F3A6740"/>
    <w:rsid w:val="0F832F47"/>
    <w:rsid w:val="10571A93"/>
    <w:rsid w:val="10C33FE0"/>
    <w:rsid w:val="112847B9"/>
    <w:rsid w:val="11292249"/>
    <w:rsid w:val="1215570E"/>
    <w:rsid w:val="1216149B"/>
    <w:rsid w:val="12A165D1"/>
    <w:rsid w:val="12FD6938"/>
    <w:rsid w:val="13647667"/>
    <w:rsid w:val="138A211E"/>
    <w:rsid w:val="14E77015"/>
    <w:rsid w:val="15F72D24"/>
    <w:rsid w:val="163A10B9"/>
    <w:rsid w:val="17C47B21"/>
    <w:rsid w:val="17E551B2"/>
    <w:rsid w:val="18BA1E70"/>
    <w:rsid w:val="18C96881"/>
    <w:rsid w:val="19597C05"/>
    <w:rsid w:val="1A8F0264"/>
    <w:rsid w:val="1CA82A3B"/>
    <w:rsid w:val="1CCE2498"/>
    <w:rsid w:val="1D73359C"/>
    <w:rsid w:val="1E184D63"/>
    <w:rsid w:val="1EDA210A"/>
    <w:rsid w:val="20401CD1"/>
    <w:rsid w:val="21A909B3"/>
    <w:rsid w:val="22395D51"/>
    <w:rsid w:val="2293268A"/>
    <w:rsid w:val="23332CA9"/>
    <w:rsid w:val="235E4EC9"/>
    <w:rsid w:val="236F5B84"/>
    <w:rsid w:val="23874C74"/>
    <w:rsid w:val="25577154"/>
    <w:rsid w:val="257F27A2"/>
    <w:rsid w:val="29F6405E"/>
    <w:rsid w:val="2B950547"/>
    <w:rsid w:val="2BC27D07"/>
    <w:rsid w:val="2C03649D"/>
    <w:rsid w:val="2C950AFD"/>
    <w:rsid w:val="2D7A5DEE"/>
    <w:rsid w:val="2E150147"/>
    <w:rsid w:val="2F5F766A"/>
    <w:rsid w:val="302E04EC"/>
    <w:rsid w:val="31BB783C"/>
    <w:rsid w:val="32E82451"/>
    <w:rsid w:val="34F4237D"/>
    <w:rsid w:val="350607E9"/>
    <w:rsid w:val="38565EAD"/>
    <w:rsid w:val="387F1D62"/>
    <w:rsid w:val="39DF785B"/>
    <w:rsid w:val="39E9394E"/>
    <w:rsid w:val="3AA34F26"/>
    <w:rsid w:val="3B294E34"/>
    <w:rsid w:val="3B74342D"/>
    <w:rsid w:val="3C9E57AB"/>
    <w:rsid w:val="3CA91597"/>
    <w:rsid w:val="3D3B7DD8"/>
    <w:rsid w:val="3DFD4EC7"/>
    <w:rsid w:val="3EA52F01"/>
    <w:rsid w:val="3EBE027B"/>
    <w:rsid w:val="3F446BE2"/>
    <w:rsid w:val="3FEC4F91"/>
    <w:rsid w:val="405C5B16"/>
    <w:rsid w:val="40F005A0"/>
    <w:rsid w:val="42C1662A"/>
    <w:rsid w:val="42FF2D1C"/>
    <w:rsid w:val="44B826EF"/>
    <w:rsid w:val="453F46F2"/>
    <w:rsid w:val="463F3357"/>
    <w:rsid w:val="47887563"/>
    <w:rsid w:val="478A6356"/>
    <w:rsid w:val="481C1699"/>
    <w:rsid w:val="48390A7E"/>
    <w:rsid w:val="48737F13"/>
    <w:rsid w:val="488A40EF"/>
    <w:rsid w:val="48EB035D"/>
    <w:rsid w:val="4A301A0D"/>
    <w:rsid w:val="4A981779"/>
    <w:rsid w:val="4ACC04D9"/>
    <w:rsid w:val="4AD0753E"/>
    <w:rsid w:val="4BF52F0E"/>
    <w:rsid w:val="4E2F16D1"/>
    <w:rsid w:val="4FA009DD"/>
    <w:rsid w:val="4FEA5139"/>
    <w:rsid w:val="50C1619E"/>
    <w:rsid w:val="50E76856"/>
    <w:rsid w:val="50EE472B"/>
    <w:rsid w:val="526B5CD8"/>
    <w:rsid w:val="52B218CB"/>
    <w:rsid w:val="52C5331D"/>
    <w:rsid w:val="52F91536"/>
    <w:rsid w:val="53973DF5"/>
    <w:rsid w:val="53D63625"/>
    <w:rsid w:val="53DB0C54"/>
    <w:rsid w:val="54EE7AD3"/>
    <w:rsid w:val="56951575"/>
    <w:rsid w:val="57E83163"/>
    <w:rsid w:val="59520F97"/>
    <w:rsid w:val="59767012"/>
    <w:rsid w:val="5A785436"/>
    <w:rsid w:val="5AA1336A"/>
    <w:rsid w:val="5C427082"/>
    <w:rsid w:val="5DB91FED"/>
    <w:rsid w:val="5E56783C"/>
    <w:rsid w:val="5FA75E4E"/>
    <w:rsid w:val="607A7877"/>
    <w:rsid w:val="6109144A"/>
    <w:rsid w:val="62F56326"/>
    <w:rsid w:val="63A4104A"/>
    <w:rsid w:val="659C418C"/>
    <w:rsid w:val="65F331A1"/>
    <w:rsid w:val="675D7E8D"/>
    <w:rsid w:val="67825B46"/>
    <w:rsid w:val="69823BDB"/>
    <w:rsid w:val="69A845AE"/>
    <w:rsid w:val="6B807362"/>
    <w:rsid w:val="6BA93342"/>
    <w:rsid w:val="6C0B435C"/>
    <w:rsid w:val="6DA850C9"/>
    <w:rsid w:val="6F2E3E72"/>
    <w:rsid w:val="6F8E3D47"/>
    <w:rsid w:val="7016507D"/>
    <w:rsid w:val="71247327"/>
    <w:rsid w:val="71A14E1B"/>
    <w:rsid w:val="71EB187C"/>
    <w:rsid w:val="729A01E8"/>
    <w:rsid w:val="72AB41A3"/>
    <w:rsid w:val="74DC3C0E"/>
    <w:rsid w:val="76D90DF0"/>
    <w:rsid w:val="77442E61"/>
    <w:rsid w:val="779F1DFC"/>
    <w:rsid w:val="791431C4"/>
    <w:rsid w:val="7A524E7E"/>
    <w:rsid w:val="7B177BCB"/>
    <w:rsid w:val="7CF72D30"/>
    <w:rsid w:val="7D584F27"/>
    <w:rsid w:val="7D683C7F"/>
    <w:rsid w:val="7DD520D4"/>
    <w:rsid w:val="7EBD2B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name="index 1"/>
    <w:lsdException w:qFormat="1" w:unhideWhenUsed="0" w:uiPriority="0" w:name="index 2"/>
    <w:lsdException w:qFormat="1" w:unhideWhenUsed="0" w:uiPriority="0" w:name="index 3"/>
    <w:lsdException w:qFormat="1" w:unhideWhenUsed="0" w:uiPriority="0" w:name="index 4"/>
    <w:lsdException w:unhideWhenUsed="0" w:uiPriority="0" w:name="index 5"/>
    <w:lsdException w:qFormat="1" w:unhideWhenUsed="0" w:uiPriority="0" w:name="index 6"/>
    <w:lsdException w:unhideWhenUsed="0" w:uiPriority="0" w:name="index 7"/>
    <w:lsdException w:qFormat="1" w:unhideWhenUsed="0" w:uiPriority="0" w:name="index 8"/>
    <w:lsdException w:unhideWhenUsed="0"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0">
    <w:name w:val="toc 7"/>
    <w:basedOn w:val="1"/>
    <w:next w:val="1"/>
    <w:semiHidden/>
    <w:qFormat/>
    <w:uiPriority w:val="0"/>
    <w:pPr>
      <w:ind w:left="1260"/>
      <w:jc w:val="left"/>
    </w:pPr>
    <w:rPr>
      <w:szCs w:val="21"/>
    </w:rPr>
  </w:style>
  <w:style w:type="paragraph" w:styleId="11">
    <w:name w:val="table of authorities"/>
    <w:basedOn w:val="1"/>
    <w:next w:val="1"/>
    <w:semiHidden/>
    <w:qFormat/>
    <w:uiPriority w:val="0"/>
    <w:pPr>
      <w:ind w:left="420" w:leftChars="200"/>
    </w:pPr>
  </w:style>
  <w:style w:type="paragraph" w:styleId="12">
    <w:name w:val="index 8"/>
    <w:basedOn w:val="1"/>
    <w:next w:val="1"/>
    <w:semiHidden/>
    <w:qFormat/>
    <w:uiPriority w:val="0"/>
    <w:pPr>
      <w:ind w:left="1400" w:leftChars="1400"/>
    </w:pPr>
  </w:style>
  <w:style w:type="paragraph" w:styleId="13">
    <w:name w:val="index 5"/>
    <w:basedOn w:val="1"/>
    <w:next w:val="1"/>
    <w:semiHidden/>
    <w:uiPriority w:val="0"/>
    <w:pPr>
      <w:ind w:left="800" w:leftChars="800"/>
    </w:p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spacing w:before="120"/>
    </w:pPr>
    <w:rPr>
      <w:rFonts w:ascii="Arial" w:hAnsi="Arial"/>
      <w:b/>
      <w:bCs/>
      <w:szCs w:val="24"/>
    </w:rPr>
  </w:style>
  <w:style w:type="paragraph" w:styleId="16">
    <w:name w:val="annotation text"/>
    <w:basedOn w:val="1"/>
    <w:link w:val="59"/>
    <w:semiHidden/>
    <w:qFormat/>
    <w:uiPriority w:val="0"/>
    <w:pPr>
      <w:jc w:val="left"/>
    </w:pPr>
  </w:style>
  <w:style w:type="paragraph" w:styleId="17">
    <w:name w:val="index 6"/>
    <w:basedOn w:val="1"/>
    <w:next w:val="1"/>
    <w:semiHidden/>
    <w:qFormat/>
    <w:uiPriority w:val="0"/>
    <w:pPr>
      <w:ind w:left="1000" w:leftChars="1000"/>
    </w:pPr>
  </w:style>
  <w:style w:type="paragraph" w:styleId="18">
    <w:name w:val="Body Text 3"/>
    <w:basedOn w:val="1"/>
    <w:qFormat/>
    <w:uiPriority w:val="0"/>
    <w:rPr>
      <w:rFonts w:ascii="黑体" w:hAnsi="Arial" w:eastAsia="黑体"/>
      <w:b/>
      <w:sz w:val="28"/>
    </w:rPr>
  </w:style>
  <w:style w:type="paragraph" w:styleId="19">
    <w:name w:val="Body Text"/>
    <w:basedOn w:val="1"/>
    <w:qFormat/>
    <w:uiPriority w:val="0"/>
    <w:rPr>
      <w:rFonts w:ascii="宋体" w:hAnsi="Arial"/>
      <w:sz w:val="28"/>
    </w:rPr>
  </w:style>
  <w:style w:type="paragraph" w:styleId="20">
    <w:name w:val="Body Text Indent"/>
    <w:basedOn w:val="1"/>
    <w:next w:val="21"/>
    <w:link w:val="60"/>
    <w:uiPriority w:val="0"/>
    <w:pPr>
      <w:ind w:firstLine="645"/>
    </w:pPr>
    <w:rPr>
      <w:rFonts w:ascii="楷体_GB2312" w:eastAsia="楷体_GB2312"/>
      <w:sz w:val="32"/>
    </w:rPr>
  </w:style>
  <w:style w:type="paragraph" w:styleId="21">
    <w:name w:val="envelope return"/>
    <w:basedOn w:val="1"/>
    <w:qFormat/>
    <w:uiPriority w:val="0"/>
    <w:pPr>
      <w:snapToGrid w:val="0"/>
    </w:pPr>
    <w:rPr>
      <w:rFonts w:ascii="Arial" w:hAnsi="Arial"/>
    </w:r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840"/>
      <w:jc w:val="left"/>
    </w:pPr>
    <w:rPr>
      <w:szCs w:val="21"/>
    </w:rPr>
  </w:style>
  <w:style w:type="paragraph" w:styleId="24">
    <w:name w:val="toc 3"/>
    <w:basedOn w:val="1"/>
    <w:next w:val="1"/>
    <w:qFormat/>
    <w:uiPriority w:val="39"/>
    <w:pPr>
      <w:ind w:left="420"/>
      <w:jc w:val="left"/>
    </w:pPr>
    <w:rPr>
      <w:i/>
      <w:iCs/>
      <w:szCs w:val="24"/>
    </w:rPr>
  </w:style>
  <w:style w:type="paragraph" w:styleId="25">
    <w:name w:val="Plain Text"/>
    <w:basedOn w:val="1"/>
    <w:uiPriority w:val="0"/>
    <w:rPr>
      <w:rFonts w:ascii="宋体" w:hAnsi="Courier New"/>
    </w:rPr>
  </w:style>
  <w:style w:type="paragraph" w:styleId="26">
    <w:name w:val="toc 8"/>
    <w:basedOn w:val="1"/>
    <w:next w:val="1"/>
    <w:semiHidden/>
    <w:qFormat/>
    <w:uiPriority w:val="0"/>
    <w:pPr>
      <w:ind w:left="1470"/>
      <w:jc w:val="left"/>
    </w:pPr>
    <w:rPr>
      <w:szCs w:val="21"/>
    </w:rPr>
  </w:style>
  <w:style w:type="paragraph" w:styleId="27">
    <w:name w:val="index 3"/>
    <w:basedOn w:val="1"/>
    <w:next w:val="1"/>
    <w:semiHidden/>
    <w:qFormat/>
    <w:uiPriority w:val="0"/>
    <w:pPr>
      <w:ind w:left="400" w:leftChars="400"/>
    </w:pPr>
  </w:style>
  <w:style w:type="paragraph" w:styleId="28">
    <w:name w:val="Date"/>
    <w:basedOn w:val="1"/>
    <w:next w:val="1"/>
    <w:link w:val="61"/>
    <w:qFormat/>
    <w:uiPriority w:val="0"/>
    <w:rPr>
      <w:b/>
      <w:sz w:val="28"/>
    </w:rPr>
  </w:style>
  <w:style w:type="paragraph" w:styleId="29">
    <w:name w:val="Body Text Indent 2"/>
    <w:basedOn w:val="1"/>
    <w:qFormat/>
    <w:uiPriority w:val="0"/>
    <w:pPr>
      <w:ind w:left="630" w:firstLine="645"/>
    </w:pPr>
    <w:rPr>
      <w:rFonts w:ascii="Arial" w:hAnsi="Arial" w:eastAsia="仿宋_GB2312"/>
      <w:sz w:val="32"/>
    </w:rPr>
  </w:style>
  <w:style w:type="paragraph" w:styleId="30">
    <w:name w:val="Balloon Text"/>
    <w:basedOn w:val="1"/>
    <w:semiHidden/>
    <w:uiPriority w:val="0"/>
    <w:rPr>
      <w:sz w:val="18"/>
      <w:szCs w:val="18"/>
    </w:rPr>
  </w:style>
  <w:style w:type="paragraph" w:styleId="31">
    <w:name w:val="footer"/>
    <w:basedOn w:val="1"/>
    <w:qFormat/>
    <w:uiPriority w:val="0"/>
    <w:pPr>
      <w:tabs>
        <w:tab w:val="center" w:pos="4153"/>
        <w:tab w:val="right" w:pos="8306"/>
      </w:tabs>
      <w:snapToGrid w:val="0"/>
      <w:jc w:val="left"/>
    </w:pPr>
    <w:rPr>
      <w:sz w:val="18"/>
    </w:rPr>
  </w:style>
  <w:style w:type="paragraph" w:styleId="32">
    <w:name w:val="header"/>
    <w:basedOn w:val="1"/>
    <w:link w:val="62"/>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uiPriority w:val="39"/>
    <w:pPr>
      <w:spacing w:before="120" w:after="120"/>
      <w:jc w:val="left"/>
    </w:pPr>
    <w:rPr>
      <w:caps/>
      <w:szCs w:val="24"/>
    </w:rPr>
  </w:style>
  <w:style w:type="paragraph" w:styleId="34">
    <w:name w:val="toc 4"/>
    <w:basedOn w:val="1"/>
    <w:next w:val="1"/>
    <w:semiHidden/>
    <w:qFormat/>
    <w:uiPriority w:val="0"/>
    <w:pPr>
      <w:ind w:left="630"/>
      <w:jc w:val="left"/>
    </w:pPr>
    <w:rPr>
      <w:szCs w:val="21"/>
    </w:rPr>
  </w:style>
  <w:style w:type="paragraph" w:styleId="35">
    <w:name w:val="index heading"/>
    <w:basedOn w:val="1"/>
    <w:next w:val="36"/>
    <w:semiHidden/>
    <w:uiPriority w:val="0"/>
  </w:style>
  <w:style w:type="paragraph" w:styleId="36">
    <w:name w:val="index 1"/>
    <w:basedOn w:val="1"/>
    <w:next w:val="1"/>
    <w:semiHidden/>
    <w:uiPriority w:val="0"/>
    <w:pPr>
      <w:jc w:val="center"/>
    </w:pPr>
    <w:rPr>
      <w:rFonts w:ascii="仿宋_GB2312" w:eastAsia="仿宋_GB2312"/>
      <w:b/>
      <w:bCs/>
      <w:sz w:val="28"/>
    </w:rPr>
  </w:style>
  <w:style w:type="paragraph" w:styleId="37">
    <w:name w:val="toc 6"/>
    <w:basedOn w:val="1"/>
    <w:next w:val="1"/>
    <w:semiHidden/>
    <w:qFormat/>
    <w:uiPriority w:val="0"/>
    <w:pPr>
      <w:ind w:left="1050"/>
      <w:jc w:val="left"/>
    </w:pPr>
    <w:rPr>
      <w:szCs w:val="21"/>
    </w:rPr>
  </w:style>
  <w:style w:type="paragraph" w:styleId="38">
    <w:name w:val="Body Text Indent 3"/>
    <w:basedOn w:val="1"/>
    <w:qFormat/>
    <w:uiPriority w:val="0"/>
    <w:pPr>
      <w:ind w:firstLine="645"/>
    </w:pPr>
    <w:rPr>
      <w:rFonts w:ascii="仿宋_GB2312" w:hAnsi="Arial" w:eastAsia="仿宋_GB2312"/>
      <w:color w:val="000000"/>
      <w:sz w:val="30"/>
    </w:rPr>
  </w:style>
  <w:style w:type="paragraph" w:styleId="39">
    <w:name w:val="index 7"/>
    <w:basedOn w:val="1"/>
    <w:next w:val="1"/>
    <w:semiHidden/>
    <w:uiPriority w:val="0"/>
    <w:pPr>
      <w:ind w:left="1200" w:leftChars="1200"/>
    </w:pPr>
  </w:style>
  <w:style w:type="paragraph" w:styleId="40">
    <w:name w:val="index 9"/>
    <w:basedOn w:val="1"/>
    <w:next w:val="1"/>
    <w:semiHidden/>
    <w:uiPriority w:val="0"/>
    <w:pPr>
      <w:ind w:left="1600" w:leftChars="1600"/>
    </w:pPr>
  </w:style>
  <w:style w:type="paragraph" w:styleId="41">
    <w:name w:val="toc 2"/>
    <w:basedOn w:val="1"/>
    <w:next w:val="1"/>
    <w:uiPriority w:val="39"/>
    <w:pPr>
      <w:ind w:left="210"/>
      <w:jc w:val="left"/>
    </w:pPr>
    <w:rPr>
      <w:smallCaps/>
      <w:sz w:val="28"/>
      <w:szCs w:val="24"/>
    </w:rPr>
  </w:style>
  <w:style w:type="paragraph" w:styleId="42">
    <w:name w:val="toc 9"/>
    <w:basedOn w:val="1"/>
    <w:next w:val="1"/>
    <w:semiHidden/>
    <w:qFormat/>
    <w:uiPriority w:val="0"/>
    <w:pPr>
      <w:ind w:left="1680"/>
      <w:jc w:val="left"/>
    </w:pPr>
    <w:rPr>
      <w:szCs w:val="21"/>
    </w:rPr>
  </w:style>
  <w:style w:type="paragraph" w:styleId="43">
    <w:name w:val="Body Text 2"/>
    <w:basedOn w:val="1"/>
    <w:uiPriority w:val="0"/>
    <w:rPr>
      <w:rFonts w:ascii="仿宋_GB2312" w:eastAsia="仿宋_GB2312"/>
      <w:b/>
      <w:sz w:val="24"/>
    </w:rPr>
  </w:style>
  <w:style w:type="paragraph" w:styleId="4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5">
    <w:name w:val="Normal (Web)"/>
    <w:basedOn w:val="1"/>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style>
  <w:style w:type="paragraph" w:styleId="47">
    <w:name w:val="annotation subject"/>
    <w:basedOn w:val="16"/>
    <w:next w:val="16"/>
    <w:link w:val="63"/>
    <w:qFormat/>
    <w:uiPriority w:val="0"/>
  </w:style>
  <w:style w:type="paragraph" w:styleId="48">
    <w:name w:val="Body Text First Indent"/>
    <w:basedOn w:val="1"/>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0">
    <w:name w:val="Table Grid"/>
    <w:basedOn w:val="4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uiPriority w:val="0"/>
  </w:style>
  <w:style w:type="character" w:styleId="54">
    <w:name w:val="FollowedHyperlink"/>
    <w:uiPriority w:val="0"/>
    <w:rPr>
      <w:color w:val="800080"/>
      <w:u w:val="single"/>
    </w:rPr>
  </w:style>
  <w:style w:type="character" w:styleId="55">
    <w:name w:val="Emphasis"/>
    <w:qFormat/>
    <w:uiPriority w:val="0"/>
    <w:rPr>
      <w:color w:val="CC0033"/>
    </w:rPr>
  </w:style>
  <w:style w:type="character" w:styleId="56">
    <w:name w:val="Hyperlink"/>
    <w:uiPriority w:val="99"/>
    <w:rPr>
      <w:color w:val="0000FF"/>
      <w:u w:val="single"/>
    </w:rPr>
  </w:style>
  <w:style w:type="character" w:styleId="57">
    <w:name w:val="annotation reference"/>
    <w:uiPriority w:val="0"/>
    <w:rPr>
      <w:sz w:val="21"/>
      <w:szCs w:val="21"/>
    </w:rPr>
  </w:style>
  <w:style w:type="character" w:customStyle="1" w:styleId="58">
    <w:name w:val="标题 3 字符"/>
    <w:link w:val="5"/>
    <w:qFormat/>
    <w:uiPriority w:val="0"/>
    <w:rPr>
      <w:rFonts w:ascii="宋体" w:eastAsia="宋体"/>
      <w:b/>
      <w:bCs/>
      <w:kern w:val="2"/>
      <w:sz w:val="32"/>
      <w:szCs w:val="32"/>
      <w:lang w:val="en-US" w:eastAsia="zh-CN" w:bidi="ar-SA"/>
    </w:rPr>
  </w:style>
  <w:style w:type="character" w:customStyle="1" w:styleId="59">
    <w:name w:val="批注文字 字符"/>
    <w:link w:val="16"/>
    <w:qFormat/>
    <w:uiPriority w:val="0"/>
    <w:rPr>
      <w:rFonts w:eastAsia="宋体"/>
      <w:kern w:val="2"/>
      <w:sz w:val="21"/>
      <w:lang w:val="en-US" w:eastAsia="zh-CN" w:bidi="ar-SA"/>
    </w:rPr>
  </w:style>
  <w:style w:type="character" w:customStyle="1" w:styleId="60">
    <w:name w:val="正文文本缩进 字符"/>
    <w:link w:val="20"/>
    <w:qFormat/>
    <w:uiPriority w:val="0"/>
    <w:rPr>
      <w:rFonts w:ascii="楷体_GB2312" w:eastAsia="楷体_GB2312"/>
      <w:kern w:val="2"/>
      <w:sz w:val="32"/>
      <w:lang w:val="en-US" w:eastAsia="zh-CN" w:bidi="ar-SA"/>
    </w:rPr>
  </w:style>
  <w:style w:type="character" w:customStyle="1" w:styleId="61">
    <w:name w:val="日期 字符"/>
    <w:link w:val="28"/>
    <w:qFormat/>
    <w:uiPriority w:val="0"/>
    <w:rPr>
      <w:rFonts w:eastAsia="宋体"/>
      <w:b/>
      <w:kern w:val="2"/>
      <w:sz w:val="28"/>
      <w:lang w:val="en-US" w:eastAsia="zh-CN" w:bidi="ar-SA"/>
    </w:rPr>
  </w:style>
  <w:style w:type="character" w:customStyle="1" w:styleId="62">
    <w:name w:val="页眉 字符"/>
    <w:link w:val="32"/>
    <w:qFormat/>
    <w:locked/>
    <w:uiPriority w:val="0"/>
    <w:rPr>
      <w:rFonts w:eastAsia="宋体"/>
      <w:kern w:val="2"/>
      <w:sz w:val="18"/>
      <w:lang w:val="en-US" w:eastAsia="zh-CN" w:bidi="ar-SA"/>
    </w:rPr>
  </w:style>
  <w:style w:type="character" w:customStyle="1" w:styleId="63">
    <w:name w:val="批注主题 字符"/>
    <w:link w:val="47"/>
    <w:semiHidden/>
    <w:qFormat/>
    <w:locked/>
    <w:uiPriority w:val="0"/>
    <w:rPr>
      <w:rFonts w:eastAsia="宋体"/>
      <w:kern w:val="2"/>
      <w:sz w:val="21"/>
      <w:lang w:val="en-US" w:eastAsia="zh-CN" w:bidi="ar-SA"/>
    </w:rPr>
  </w:style>
  <w:style w:type="character" w:customStyle="1" w:styleId="64">
    <w:name w:val=" Char Char3"/>
    <w:qFormat/>
    <w:uiPriority w:val="0"/>
    <w:rPr>
      <w:kern w:val="2"/>
      <w:sz w:val="18"/>
      <w:szCs w:val="18"/>
    </w:rPr>
  </w:style>
  <w:style w:type="character" w:customStyle="1" w:styleId="65">
    <w:name w:val="正文文本缩进 Char1"/>
    <w:semiHidden/>
    <w:qFormat/>
    <w:uiPriority w:val="99"/>
    <w:rPr>
      <w:kern w:val="2"/>
      <w:sz w:val="21"/>
    </w:rPr>
  </w:style>
  <w:style w:type="paragraph" w:customStyle="1" w:styleId="66">
    <w:name w:val=" Char"/>
    <w:basedOn w:val="1"/>
    <w:qFormat/>
    <w:uiPriority w:val="0"/>
    <w:rPr>
      <w:szCs w:val="24"/>
    </w:rPr>
  </w:style>
  <w:style w:type="paragraph" w:customStyle="1" w:styleId="67">
    <w:name w:val="SUR-需求定义-第4级"/>
    <w:basedOn w:val="6"/>
    <w:next w:val="1"/>
    <w:qFormat/>
    <w:uiPriority w:val="0"/>
    <w:pPr>
      <w:numPr>
        <w:ilvl w:val="3"/>
        <w:numId w:val="1"/>
      </w:numPr>
      <w:tabs>
        <w:tab w:val="left" w:pos="1080"/>
        <w:tab w:val="clear" w:pos="2934"/>
      </w:tabs>
      <w:spacing w:before="0" w:after="0"/>
      <w:ind w:left="-283" w:firstLine="283"/>
      <w:jc w:val="left"/>
    </w:pPr>
    <w:rPr>
      <w:rFonts w:cs="Arial"/>
      <w:b w:val="0"/>
      <w:color w:val="0000FF"/>
      <w:sz w:val="24"/>
      <w:szCs w:val="24"/>
    </w:rPr>
  </w:style>
  <w:style w:type="paragraph" w:customStyle="1" w:styleId="68">
    <w:name w:val="List Paragraph1"/>
    <w:basedOn w:val="1"/>
    <w:qFormat/>
    <w:uiPriority w:val="0"/>
    <w:pPr>
      <w:ind w:firstLine="420" w:firstLineChars="200"/>
    </w:pPr>
    <w:rPr>
      <w:rFonts w:ascii="Calibri" w:hAnsi="Calibri"/>
      <w:szCs w:val="22"/>
    </w:rPr>
  </w:style>
  <w:style w:type="paragraph" w:customStyle="1" w:styleId="6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4">
    <w:name w:val="样式1"/>
    <w:basedOn w:val="1"/>
    <w:qFormat/>
    <w:uiPriority w:val="0"/>
    <w:pPr>
      <w:numPr>
        <w:ilvl w:val="0"/>
        <w:numId w:val="2"/>
      </w:numPr>
      <w:adjustRightInd w:val="0"/>
      <w:textAlignment w:val="baseline"/>
    </w:pPr>
    <w:rPr>
      <w:rFonts w:ascii="宋体" w:hAnsi="宋体"/>
      <w:kern w:val="0"/>
    </w:rPr>
  </w:style>
  <w:style w:type="paragraph" w:customStyle="1" w:styleId="75">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6">
    <w:name w:val="Char Char Char Char Char Char Char1 Char"/>
    <w:basedOn w:val="1"/>
    <w:qFormat/>
    <w:uiPriority w:val="0"/>
    <w:rPr>
      <w:rFonts w:ascii="Tahoma" w:hAnsi="Tahoma"/>
      <w:sz w:val="24"/>
    </w:rPr>
  </w:style>
  <w:style w:type="paragraph" w:customStyle="1" w:styleId="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8">
    <w:name w:val="一级标题"/>
    <w:basedOn w:val="1"/>
    <w:next w:val="79"/>
    <w:qFormat/>
    <w:uiPriority w:val="0"/>
    <w:pPr>
      <w:numPr>
        <w:ilvl w:val="2"/>
        <w:numId w:val="3"/>
      </w:numPr>
      <w:tabs>
        <w:tab w:val="left" w:pos="425"/>
      </w:tabs>
      <w:spacing w:afterLines="100"/>
      <w:ind w:left="850" w:hanging="425"/>
      <w:outlineLvl w:val="0"/>
    </w:pPr>
    <w:rPr>
      <w:rFonts w:ascii="黑体" w:eastAsia="黑体"/>
      <w:sz w:val="30"/>
      <w:szCs w:val="28"/>
    </w:rPr>
  </w:style>
  <w:style w:type="paragraph" w:customStyle="1" w:styleId="79">
    <w:name w:val="二级标题"/>
    <w:basedOn w:val="1"/>
    <w:next w:val="80"/>
    <w:qFormat/>
    <w:uiPriority w:val="0"/>
    <w:pPr>
      <w:numPr>
        <w:ilvl w:val="0"/>
        <w:numId w:val="3"/>
      </w:numPr>
      <w:tabs>
        <w:tab w:val="left" w:pos="992"/>
        <w:tab w:val="clear" w:pos="425"/>
      </w:tabs>
      <w:ind w:left="992" w:hanging="567"/>
      <w:outlineLvl w:val="1"/>
    </w:pPr>
    <w:rPr>
      <w:rFonts w:ascii="黑体" w:eastAsia="黑体"/>
      <w:sz w:val="28"/>
      <w:szCs w:val="24"/>
    </w:rPr>
  </w:style>
  <w:style w:type="paragraph" w:customStyle="1" w:styleId="80">
    <w:name w:val="文章正文"/>
    <w:basedOn w:val="1"/>
    <w:qFormat/>
    <w:uiPriority w:val="0"/>
    <w:pPr>
      <w:numPr>
        <w:ilvl w:val="1"/>
        <w:numId w:val="3"/>
      </w:numPr>
      <w:spacing w:beforeLines="50" w:afterLines="50" w:line="320" w:lineRule="exact"/>
      <w:ind w:left="0" w:firstLine="200" w:firstLineChars="200"/>
    </w:pPr>
    <w:rPr>
      <w:rFonts w:ascii="仿宋_GB2312" w:eastAsia="仿宋_GB2312"/>
      <w:sz w:val="28"/>
      <w:szCs w:val="24"/>
    </w:rPr>
  </w:style>
  <w:style w:type="paragraph" w:customStyle="1" w:styleId="8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4">
    <w:name w:val="Char"/>
    <w:basedOn w:val="1"/>
    <w:qFormat/>
    <w:uiPriority w:val="0"/>
    <w:rPr>
      <w:rFonts w:ascii="Tahoma" w:hAnsi="Tahoma"/>
      <w:sz w:val="24"/>
    </w:rPr>
  </w:style>
  <w:style w:type="paragraph" w:customStyle="1" w:styleId="85">
    <w:name w:val="Default Paragraph Char Char Char Char"/>
    <w:basedOn w:val="1"/>
    <w:next w:val="1"/>
    <w:qFormat/>
    <w:uiPriority w:val="0"/>
    <w:pPr>
      <w:widowControl/>
      <w:spacing w:line="360" w:lineRule="auto"/>
      <w:jc w:val="left"/>
    </w:pPr>
    <w:rPr>
      <w:szCs w:val="24"/>
    </w:rPr>
  </w:style>
  <w:style w:type="paragraph" w:customStyle="1" w:styleId="86">
    <w:name w:val="_Style 8"/>
    <w:basedOn w:val="1"/>
    <w:qFormat/>
    <w:uiPriority w:val="0"/>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8">
    <w:name w:val="基本文字 Char"/>
    <w:basedOn w:val="1"/>
    <w:qFormat/>
    <w:uiPriority w:val="0"/>
    <w:pPr>
      <w:spacing w:before="156" w:line="400" w:lineRule="atLeast"/>
      <w:ind w:firstLine="540" w:firstLineChars="225"/>
    </w:pPr>
    <w:rPr>
      <w:sz w:val="24"/>
    </w:rPr>
  </w:style>
  <w:style w:type="paragraph" w:customStyle="1" w:styleId="89">
    <w:name w:val="D&amp;L"/>
    <w:basedOn w:val="32"/>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18721</Words>
  <Characters>19785</Characters>
  <Lines>159</Lines>
  <Paragraphs>44</Paragraphs>
  <TotalTime>11</TotalTime>
  <ScaleCrop>false</ScaleCrop>
  <LinksUpToDate>false</LinksUpToDate>
  <CharactersWithSpaces>20006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2020-11-25T06:17:00Z</dcterms:created>
  <dc:creator>何平</dc:creator>
  <cp:lastModifiedBy>hu</cp:lastModifiedBy>
  <cp:lastPrinted>2022-04-02T06:35:00Z</cp:lastPrinted>
  <dcterms:modified xsi:type="dcterms:W3CDTF">2022-07-22T06:26:11Z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B148F0CB0D944750815312FA89ACFEA1</vt:lpwstr>
  </property>
</Properties>
</file>